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E2B2" w14:textId="77777777" w:rsidR="00282B68" w:rsidRPr="00FC4502" w:rsidRDefault="00282B68">
      <w:pPr>
        <w:rPr>
          <w:rFonts w:ascii="Times New Roman" w:hAnsi="Times New Roman" w:cs="Times New Roman"/>
        </w:rPr>
      </w:pPr>
      <w:r w:rsidRPr="00FC4502">
        <w:rPr>
          <w:rFonts w:ascii="Times New Roman" w:hAnsi="Times New Roman" w:cs="Times New Roman"/>
          <w:noProof/>
          <w:lang w:val="sq-AL" w:eastAsia="sq-AL"/>
        </w:rPr>
        <w:drawing>
          <wp:anchor distT="0" distB="0" distL="114300" distR="114300" simplePos="0" relativeHeight="251658240" behindDoc="0" locked="0" layoutInCell="1" allowOverlap="1" wp14:anchorId="427DCD2B" wp14:editId="6F34B6D2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967105" cy="9671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4D33A" w14:textId="77777777" w:rsidR="00282B68" w:rsidRPr="00FC4502" w:rsidRDefault="00282B68" w:rsidP="00282B68">
      <w:pPr>
        <w:rPr>
          <w:rFonts w:ascii="Times New Roman" w:hAnsi="Times New Roman" w:cs="Times New Roman"/>
        </w:rPr>
      </w:pPr>
    </w:p>
    <w:p w14:paraId="79A84EFA" w14:textId="77777777" w:rsidR="00282B68" w:rsidRPr="00FC4502" w:rsidRDefault="00282B68" w:rsidP="00282B68">
      <w:pPr>
        <w:rPr>
          <w:rFonts w:ascii="Times New Roman" w:hAnsi="Times New Roman" w:cs="Times New Roman"/>
        </w:rPr>
      </w:pPr>
    </w:p>
    <w:p w14:paraId="48EAD723" w14:textId="77777777" w:rsidR="00282B68" w:rsidRPr="00FC4502" w:rsidRDefault="00282B68" w:rsidP="00282B68">
      <w:pPr>
        <w:rPr>
          <w:rFonts w:ascii="Times New Roman" w:hAnsi="Times New Roman" w:cs="Times New Roman"/>
        </w:rPr>
      </w:pPr>
    </w:p>
    <w:p w14:paraId="744C3F8A" w14:textId="77777777" w:rsidR="00282B68" w:rsidRPr="00FC4502" w:rsidRDefault="00282B68" w:rsidP="00282B68">
      <w:pPr>
        <w:rPr>
          <w:rFonts w:ascii="Times New Roman" w:hAnsi="Times New Roman" w:cs="Times New Roman"/>
        </w:rPr>
      </w:pPr>
      <w:r w:rsidRPr="00FC4502">
        <w:rPr>
          <w:rFonts w:ascii="Times New Roman" w:hAnsi="Times New Roman" w:cs="Times New Roman"/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54568C13" wp14:editId="1748A36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560445" cy="56769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E8B91" w14:textId="77777777" w:rsidR="004D7935" w:rsidRPr="00FC4502" w:rsidRDefault="004D7935" w:rsidP="00282B68">
      <w:pPr>
        <w:jc w:val="center"/>
        <w:rPr>
          <w:rFonts w:ascii="Times New Roman" w:hAnsi="Times New Roman" w:cs="Times New Roman"/>
        </w:rPr>
      </w:pPr>
    </w:p>
    <w:p w14:paraId="10AD0C06" w14:textId="77777777" w:rsidR="004D7935" w:rsidRPr="00FC4502" w:rsidRDefault="004D7935" w:rsidP="004D7935">
      <w:pPr>
        <w:rPr>
          <w:rFonts w:ascii="Times New Roman" w:hAnsi="Times New Roman" w:cs="Times New Roman"/>
        </w:rPr>
      </w:pPr>
    </w:p>
    <w:p w14:paraId="451BF673" w14:textId="7933C8C0" w:rsidR="004D7935" w:rsidRPr="00FC4502" w:rsidRDefault="00FC4502" w:rsidP="004D7935">
      <w:pPr>
        <w:spacing w:before="240" w:after="24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Propozimet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rreth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Projektligjit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Shtojcave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E1" w:rsidRPr="00FC4502">
        <w:rPr>
          <w:rFonts w:ascii="Times New Roman" w:hAnsi="Times New Roman" w:cs="Times New Roman"/>
          <w:b/>
          <w:sz w:val="24"/>
        </w:rPr>
        <w:t>Od</w:t>
      </w:r>
      <w:r w:rsidR="00B736CD" w:rsidRPr="00FC4502">
        <w:rPr>
          <w:rFonts w:ascii="Times New Roman" w:hAnsi="Times New Roman" w:cs="Times New Roman"/>
          <w:b/>
          <w:sz w:val="24"/>
        </w:rPr>
        <w:t>a e</w:t>
      </w:r>
      <w:r w:rsidR="002C51E1" w:rsidRPr="00FC45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51E1" w:rsidRPr="00FC4502">
        <w:rPr>
          <w:rFonts w:ascii="Times New Roman" w:hAnsi="Times New Roman" w:cs="Times New Roman"/>
          <w:b/>
          <w:sz w:val="24"/>
        </w:rPr>
        <w:t>Mjek</w:t>
      </w:r>
      <w:r w:rsidR="0006349D" w:rsidRPr="00FC4502">
        <w:rPr>
          <w:rFonts w:ascii="Times New Roman" w:hAnsi="Times New Roman" w:cs="Times New Roman"/>
          <w:b/>
          <w:sz w:val="24"/>
        </w:rPr>
        <w:t>ë</w:t>
      </w:r>
      <w:r w:rsidR="002C51E1" w:rsidRPr="00FC4502">
        <w:rPr>
          <w:rFonts w:ascii="Times New Roman" w:hAnsi="Times New Roman" w:cs="Times New Roman"/>
          <w:b/>
          <w:sz w:val="24"/>
        </w:rPr>
        <w:t>ve</w:t>
      </w:r>
      <w:proofErr w:type="spellEnd"/>
      <w:r w:rsidR="002C51E1" w:rsidRPr="00FC45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51E1" w:rsidRPr="00FC4502">
        <w:rPr>
          <w:rFonts w:ascii="Times New Roman" w:hAnsi="Times New Roman" w:cs="Times New Roman"/>
          <w:b/>
          <w:sz w:val="24"/>
        </w:rPr>
        <w:t>t</w:t>
      </w:r>
      <w:r w:rsidR="0006349D" w:rsidRPr="00FC4502">
        <w:rPr>
          <w:rFonts w:ascii="Times New Roman" w:hAnsi="Times New Roman" w:cs="Times New Roman"/>
          <w:b/>
          <w:sz w:val="24"/>
        </w:rPr>
        <w:t>ë</w:t>
      </w:r>
      <w:proofErr w:type="spellEnd"/>
      <w:r w:rsidR="002C51E1" w:rsidRPr="00FC45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51E1" w:rsidRPr="00FC4502">
        <w:rPr>
          <w:rFonts w:ascii="Times New Roman" w:hAnsi="Times New Roman" w:cs="Times New Roman"/>
          <w:b/>
          <w:sz w:val="24"/>
        </w:rPr>
        <w:t>Kosov</w:t>
      </w:r>
      <w:r w:rsidR="0006349D" w:rsidRPr="00FC4502">
        <w:rPr>
          <w:rFonts w:ascii="Times New Roman" w:hAnsi="Times New Roman" w:cs="Times New Roman"/>
          <w:b/>
          <w:sz w:val="24"/>
        </w:rPr>
        <w:t>ë</w:t>
      </w:r>
      <w:r w:rsidR="002C51E1" w:rsidRPr="00FC4502">
        <w:rPr>
          <w:rFonts w:ascii="Times New Roman" w:hAnsi="Times New Roman" w:cs="Times New Roman"/>
          <w:b/>
          <w:sz w:val="24"/>
        </w:rPr>
        <w:t>s</w:t>
      </w:r>
      <w:proofErr w:type="spellEnd"/>
    </w:p>
    <w:p w14:paraId="2C0E20B1" w14:textId="7FF6B90B" w:rsidR="002C51E1" w:rsidRPr="00FC4502" w:rsidRDefault="004C5949" w:rsidP="004D793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C51E1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E1" w:rsidRPr="00FC4502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2C51E1" w:rsidRPr="00FC4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8F6ED" w14:textId="77777777" w:rsidR="002C51E1" w:rsidRPr="00FC4502" w:rsidRDefault="002C51E1" w:rsidP="004D793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Oda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Mjek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Kosov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1E"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D46C1E" w:rsidRPr="00FC4502">
        <w:rPr>
          <w:rFonts w:ascii="Times New Roman" w:hAnsi="Times New Roman" w:cs="Times New Roman"/>
          <w:sz w:val="24"/>
          <w:szCs w:val="24"/>
        </w:rPr>
        <w:t>rmes</w:t>
      </w:r>
      <w:proofErr w:type="spellEnd"/>
      <w:r w:rsidR="00D46C1E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1E" w:rsidRPr="00FC4502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="00D46C1E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1E"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6C1E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1E" w:rsidRPr="00FC4502">
        <w:rPr>
          <w:rFonts w:ascii="Times New Roman" w:hAnsi="Times New Roman" w:cs="Times New Roman"/>
          <w:sz w:val="24"/>
          <w:szCs w:val="24"/>
        </w:rPr>
        <w:t>brendsh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D46C1E" w:rsidRPr="00FC450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46C1E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43" w:rsidRPr="00FC4502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="00EA5643" w:rsidRPr="00FC4502">
        <w:rPr>
          <w:rFonts w:ascii="Times New Roman" w:hAnsi="Times New Roman" w:cs="Times New Roman"/>
          <w:sz w:val="24"/>
          <w:szCs w:val="24"/>
        </w:rPr>
        <w:t xml:space="preserve"> </w:t>
      </w:r>
      <w:r w:rsidRPr="00FC4502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Projektligjin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Pagat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Publik, me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ç’rast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konsideruar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plot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pjes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Projektligji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:</w:t>
      </w:r>
    </w:p>
    <w:p w14:paraId="33F5A6A8" w14:textId="77777777" w:rsidR="00B766BA" w:rsidRPr="00FC4502" w:rsidRDefault="00B766BA" w:rsidP="004D793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Komente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t</w:t>
      </w:r>
      <w:r w:rsidR="007C4EC1" w:rsidRPr="00FC450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</w:t>
      </w:r>
      <w:r w:rsidR="007C4EC1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rgjithshme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:</w:t>
      </w:r>
    </w:p>
    <w:p w14:paraId="72075C96" w14:textId="77777777" w:rsidR="008E166A" w:rsidRPr="00FC4502" w:rsidRDefault="00B766BA" w:rsidP="00021D1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>1.</w:t>
      </w:r>
      <w:r w:rsidRPr="00FC4502">
        <w:rPr>
          <w:rFonts w:ascii="Times New Roman" w:hAnsi="Times New Roman" w:cs="Times New Roman"/>
          <w:sz w:val="24"/>
          <w:szCs w:val="24"/>
        </w:rPr>
        <w:t xml:space="preserve"> Ky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Projektligj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shkollore-arsimore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profesion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viteve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shpenzuara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titull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ekspertit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ngase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njëjtë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sikur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Mjek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Specializim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barazohet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Jurist,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Ekonomist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,</w:t>
      </w:r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Arkitekt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Inxhinier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Bachelor, plus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vit Master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!!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rrejdhimisht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!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njëjta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vlente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profesionistët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ekspertët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ngase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motivonte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rinjtë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profile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tilla,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sakrificë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përkushtim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profilet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apostrofuara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mjafton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motoja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barabartë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barabartë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sepse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mangët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përmbledhur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kompleksitetin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8E166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korrekt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.</w:t>
      </w:r>
      <w:r w:rsidR="008E166A" w:rsidRPr="00FC4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7D35E" w14:textId="77777777" w:rsidR="008E166A" w:rsidRPr="00FC4502" w:rsidRDefault="00B766BA" w:rsidP="00021D1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>2.</w:t>
      </w:r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njërën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shërbeheni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nocionin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kurse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anën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orarin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8E166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përcakohet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javë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!!! </w:t>
      </w:r>
    </w:p>
    <w:p w14:paraId="062440B7" w14:textId="77777777" w:rsidR="00B766BA" w:rsidRPr="00FC4502" w:rsidRDefault="00B766BA" w:rsidP="00021D1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362A8" w14:textId="77777777" w:rsidR="00B766BA" w:rsidRPr="00FC4502" w:rsidRDefault="00B766BA" w:rsidP="00021D1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orës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j</w:t>
      </w:r>
      <w:r w:rsidR="00021D1A" w:rsidRPr="00FC4502">
        <w:rPr>
          <w:rFonts w:ascii="Times New Roman" w:hAnsi="Times New Roman" w:cs="Times New Roman"/>
          <w:sz w:val="24"/>
          <w:szCs w:val="24"/>
        </w:rPr>
        <w:t>avë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zhvilluara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>)</w:t>
      </w:r>
      <w:r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orët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javë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.</w:t>
      </w:r>
    </w:p>
    <w:p w14:paraId="437C8705" w14:textId="77777777" w:rsidR="00B766BA" w:rsidRPr="00FC4502" w:rsidRDefault="00B766BA" w:rsidP="00021D1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>3.</w:t>
      </w:r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shpjeguar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Koeficienti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E166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Klasën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prof</w:t>
      </w:r>
      <w:r w:rsidR="00021D1A" w:rsidRPr="00FC450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çfarë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21D1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1A" w:rsidRPr="00FC4502">
        <w:rPr>
          <w:rFonts w:ascii="Times New Roman" w:hAnsi="Times New Roman" w:cs="Times New Roman"/>
          <w:sz w:val="24"/>
          <w:szCs w:val="24"/>
        </w:rPr>
        <w:t>çelësi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!!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Përcaktimi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çelësi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,</w:t>
      </w:r>
      <w:r w:rsidR="008E166A" w:rsidRPr="00FC4502">
        <w:rPr>
          <w:rFonts w:ascii="Times New Roman" w:hAnsi="Times New Roman" w:cs="Times New Roman"/>
          <w:sz w:val="24"/>
          <w:szCs w:val="24"/>
        </w:rPr>
        <w:t xml:space="preserve"> </w:t>
      </w:r>
      <w:r w:rsidRPr="00FC450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korrekt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Projekligji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Memorandumin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shpjegues</w:t>
      </w:r>
      <w:proofErr w:type="spellEnd"/>
      <w:r w:rsidR="008E166A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shpjegimi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sipërfaqësor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pamjaftueshëm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!</w:t>
      </w:r>
    </w:p>
    <w:p w14:paraId="1B54A94E" w14:textId="77777777" w:rsidR="00B766BA" w:rsidRPr="00FC4502" w:rsidRDefault="00B766BA" w:rsidP="00B766B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F3F8201" w14:textId="77777777" w:rsidR="002C51E1" w:rsidRPr="00FC4502" w:rsidRDefault="00EA5643" w:rsidP="00FF6467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 xml:space="preserve">Neni 6,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paragrafi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26B1F73" w14:textId="77777777" w:rsidR="009C2DAA" w:rsidRPr="00FC4502" w:rsidRDefault="009C2DAA" w:rsidP="004D793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Drafti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dor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zuar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42A27CBB" w14:textId="77777777" w:rsidR="009C2DAA" w:rsidRPr="00FC4502" w:rsidRDefault="009C2DAA" w:rsidP="004D793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rritet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përvojës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masën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zero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(0.5%)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vit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Propozohet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përvojës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punes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jete 2%)</w:t>
      </w:r>
    </w:p>
    <w:p w14:paraId="6E97F8BC" w14:textId="77777777" w:rsidR="009C2DAA" w:rsidRPr="00FC4502" w:rsidRDefault="009C2DAA" w:rsidP="004D793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572E263A" w14:textId="77777777" w:rsidR="009C2DAA" w:rsidRPr="00FC4502" w:rsidRDefault="009C2DAA" w:rsidP="004D793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rritet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përvojës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masën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(2%)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vit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E996C" w14:textId="77777777" w:rsidR="00AA3933" w:rsidRPr="00FC4502" w:rsidRDefault="00AA3933" w:rsidP="00AA3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 xml:space="preserve">Neni 22,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paragrafi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1 me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n-paragrafin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1.8</w:t>
      </w:r>
    </w:p>
    <w:p w14:paraId="5EF06A12" w14:textId="77777777" w:rsidR="00AA3933" w:rsidRPr="00FC4502" w:rsidRDefault="00AA3933" w:rsidP="00AA3933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Drafti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dor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zuar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48222A53" w14:textId="77777777" w:rsidR="00AA3933" w:rsidRPr="00FC4502" w:rsidRDefault="00AA3933" w:rsidP="00AA3933">
      <w:pPr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pun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502">
        <w:rPr>
          <w:rFonts w:ascii="Times New Roman" w:hAnsi="Times New Roman" w:cs="Times New Roman"/>
          <w:sz w:val="24"/>
          <w:szCs w:val="24"/>
        </w:rPr>
        <w:t>sh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ndet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A4982AA" w14:textId="77777777" w:rsidR="00B736CD" w:rsidRPr="00FC4502" w:rsidRDefault="00B736CD" w:rsidP="00874128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6BD40" w14:textId="2491D949" w:rsidR="00874128" w:rsidRPr="00FC4502" w:rsidRDefault="00874128" w:rsidP="00874128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0E372721" w14:textId="77777777" w:rsidR="00874128" w:rsidRPr="00FC4502" w:rsidRDefault="00874128" w:rsidP="00874128">
      <w:pPr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pun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ndet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rjashtoj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shtesat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neni</w:t>
      </w:r>
      <w:proofErr w:type="spellEnd"/>
    </w:p>
    <w:p w14:paraId="74E4DF86" w14:textId="77777777" w:rsidR="00874128" w:rsidRPr="00FC4502" w:rsidRDefault="00874128" w:rsidP="00874128">
      <w:pPr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FFCE9" w14:textId="77777777" w:rsidR="00874128" w:rsidRPr="00FC4502" w:rsidRDefault="00874128" w:rsidP="00874128">
      <w:pPr>
        <w:adjustRightInd w:val="0"/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Arsyetim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7C763967" w14:textId="77777777" w:rsidR="00874128" w:rsidRPr="00FC4502" w:rsidRDefault="00874128" w:rsidP="00AA3933">
      <w:pPr>
        <w:rPr>
          <w:rFonts w:ascii="Times New Roman" w:hAnsi="Times New Roman" w:cs="Times New Roman"/>
          <w:b/>
          <w:sz w:val="24"/>
          <w:szCs w:val="24"/>
        </w:rPr>
      </w:pPr>
    </w:p>
    <w:p w14:paraId="5E851E8D" w14:textId="77777777" w:rsidR="00874128" w:rsidRPr="00FC4502" w:rsidRDefault="00874128" w:rsidP="00AA39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Dispozita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1.8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sht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pakuptimt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riformulohet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propozimit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Od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interpretimi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praktik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jet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m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sak</w:t>
      </w:r>
      <w:r w:rsidR="00041A00"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faktin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se</w:t>
      </w:r>
      <w:r w:rsidR="00041A00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A00"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041A00" w:rsidRPr="00FC450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041A0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A00" w:rsidRPr="00FC4502">
        <w:rPr>
          <w:rFonts w:ascii="Times New Roman" w:hAnsi="Times New Roman" w:cs="Times New Roman"/>
          <w:sz w:val="24"/>
          <w:szCs w:val="24"/>
        </w:rPr>
        <w:t>mbetet</w:t>
      </w:r>
      <w:proofErr w:type="spellEnd"/>
      <w:r w:rsidR="00041A0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A00" w:rsidRPr="00FC45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41A00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41A00" w:rsidRPr="00FC4502">
        <w:rPr>
          <w:rFonts w:ascii="Times New Roman" w:hAnsi="Times New Roman" w:cs="Times New Roman"/>
          <w:sz w:val="24"/>
          <w:szCs w:val="24"/>
        </w:rPr>
        <w:t>till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interpretimi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jo-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pikave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jet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kund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rshtim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.</w:t>
      </w:r>
    </w:p>
    <w:p w14:paraId="33F1E40F" w14:textId="77777777" w:rsidR="00937558" w:rsidRPr="00FC4502" w:rsidRDefault="00937558" w:rsidP="00AA3933">
      <w:pPr>
        <w:rPr>
          <w:rFonts w:ascii="Times New Roman" w:hAnsi="Times New Roman" w:cs="Times New Roman"/>
          <w:sz w:val="24"/>
          <w:szCs w:val="24"/>
        </w:rPr>
      </w:pPr>
    </w:p>
    <w:p w14:paraId="27D79E11" w14:textId="41266FA0" w:rsidR="00937558" w:rsidRPr="00FC4502" w:rsidRDefault="00937558" w:rsidP="00B73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 xml:space="preserve">Neni 25 –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Shtesa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performanc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14:paraId="15D7A907" w14:textId="77777777" w:rsidR="00937558" w:rsidRPr="00FC4502" w:rsidRDefault="00937558" w:rsidP="00AA39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Drafti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dor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zuar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0D7C2386" w14:textId="77777777" w:rsidR="00937558" w:rsidRPr="00FC4502" w:rsidRDefault="00937558" w:rsidP="00937558">
      <w:pPr>
        <w:pStyle w:val="ListParagraph"/>
        <w:widowControl/>
        <w:numPr>
          <w:ilvl w:val="0"/>
          <w:numId w:val="2"/>
        </w:numPr>
        <w:tabs>
          <w:tab w:val="left" w:pos="535"/>
        </w:tabs>
        <w:adjustRightInd w:val="0"/>
        <w:ind w:left="85" w:right="153" w:firstLine="0"/>
        <w:contextualSpacing/>
        <w:jc w:val="both"/>
        <w:rPr>
          <w:szCs w:val="24"/>
        </w:rPr>
      </w:pPr>
      <w:r w:rsidRPr="00FC4502">
        <w:rPr>
          <w:szCs w:val="24"/>
        </w:rPr>
        <w:t>Shtesa e performancës  synon stimulimin e nëpunësit civil dhe nëpunësin e administratës së shërbimit publik të kategorisë profesionale në organizatat buxhetore që financohen nga buxheti i shtetit, për të marrë rezultate të shkëlqyeshme në kryerje të detyrave dhe përgjegjësive.</w:t>
      </w:r>
    </w:p>
    <w:p w14:paraId="6E6B8512" w14:textId="77777777" w:rsidR="00937558" w:rsidRPr="00FC4502" w:rsidRDefault="00937558" w:rsidP="00937558">
      <w:pPr>
        <w:pStyle w:val="ListParagraph"/>
        <w:widowControl/>
        <w:tabs>
          <w:tab w:val="left" w:pos="535"/>
        </w:tabs>
        <w:adjustRightInd w:val="0"/>
        <w:ind w:right="153"/>
        <w:contextualSpacing/>
        <w:jc w:val="both"/>
        <w:rPr>
          <w:szCs w:val="24"/>
        </w:rPr>
      </w:pPr>
    </w:p>
    <w:p w14:paraId="2DDD08FD" w14:textId="77777777" w:rsidR="00937558" w:rsidRPr="00FC4502" w:rsidRDefault="00937558" w:rsidP="00937558">
      <w:pPr>
        <w:pStyle w:val="ListParagraph"/>
        <w:widowControl/>
        <w:numPr>
          <w:ilvl w:val="0"/>
          <w:numId w:val="2"/>
        </w:numPr>
        <w:tabs>
          <w:tab w:val="left" w:pos="535"/>
        </w:tabs>
        <w:adjustRightInd w:val="0"/>
        <w:ind w:left="85" w:right="153" w:firstLine="0"/>
        <w:contextualSpacing/>
        <w:jc w:val="both"/>
        <w:rPr>
          <w:szCs w:val="24"/>
        </w:rPr>
      </w:pPr>
      <w:r w:rsidRPr="00FC4502">
        <w:rPr>
          <w:szCs w:val="24"/>
        </w:rPr>
        <w:t>Nëpunësi civil dhe nëpunësi i administratës së shërbimit publik i kategorisë profesionale përfiton shtesë vjetore për performancë bazuar në rezultatet vjetore të vlerësimit të punës.</w:t>
      </w:r>
    </w:p>
    <w:p w14:paraId="13AE98B8" w14:textId="77777777" w:rsidR="00937558" w:rsidRPr="00FC4502" w:rsidRDefault="00937558" w:rsidP="00AA3933">
      <w:pPr>
        <w:rPr>
          <w:rFonts w:ascii="Times New Roman" w:hAnsi="Times New Roman" w:cs="Times New Roman"/>
          <w:sz w:val="24"/>
          <w:szCs w:val="24"/>
        </w:rPr>
      </w:pPr>
    </w:p>
    <w:p w14:paraId="2C259746" w14:textId="77777777" w:rsidR="00896DBF" w:rsidRPr="00FC4502" w:rsidRDefault="00896DBF" w:rsidP="00AA39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39291665" w14:textId="77777777" w:rsidR="00896DBF" w:rsidRPr="00FC4502" w:rsidRDefault="00896DBF" w:rsidP="00896DBF">
      <w:pPr>
        <w:pStyle w:val="ListParagraph"/>
        <w:widowControl/>
        <w:numPr>
          <w:ilvl w:val="0"/>
          <w:numId w:val="3"/>
        </w:numPr>
        <w:tabs>
          <w:tab w:val="left" w:pos="535"/>
        </w:tabs>
        <w:adjustRightInd w:val="0"/>
        <w:ind w:right="153"/>
        <w:contextualSpacing/>
        <w:jc w:val="both"/>
        <w:rPr>
          <w:szCs w:val="24"/>
        </w:rPr>
      </w:pPr>
      <w:r w:rsidRPr="00FC4502">
        <w:rPr>
          <w:szCs w:val="24"/>
        </w:rPr>
        <w:lastRenderedPageBreak/>
        <w:t>Shtesa e performancës  synon stimulimin e zyrtarit publik në organizatat buxhetore që financohen nga buxheti i shtetit, për të marrë rezultate të shkëlqyeshme në kryerje të detyrave dhe përgjegjësive.</w:t>
      </w:r>
    </w:p>
    <w:p w14:paraId="784D02D8" w14:textId="77777777" w:rsidR="00896DBF" w:rsidRPr="00FC4502" w:rsidRDefault="00896DBF" w:rsidP="00896DBF">
      <w:pPr>
        <w:pStyle w:val="ListParagraph"/>
        <w:widowControl/>
        <w:tabs>
          <w:tab w:val="left" w:pos="535"/>
        </w:tabs>
        <w:adjustRightInd w:val="0"/>
        <w:ind w:right="153"/>
        <w:contextualSpacing/>
        <w:jc w:val="both"/>
        <w:rPr>
          <w:szCs w:val="24"/>
        </w:rPr>
      </w:pPr>
    </w:p>
    <w:p w14:paraId="3D7316B9" w14:textId="77777777" w:rsidR="00896DBF" w:rsidRPr="00FC4502" w:rsidRDefault="00896DBF" w:rsidP="00896DBF">
      <w:pPr>
        <w:pStyle w:val="ListParagraph"/>
        <w:widowControl/>
        <w:numPr>
          <w:ilvl w:val="0"/>
          <w:numId w:val="3"/>
        </w:numPr>
        <w:tabs>
          <w:tab w:val="left" w:pos="535"/>
        </w:tabs>
        <w:adjustRightInd w:val="0"/>
        <w:ind w:left="85" w:right="153" w:firstLine="0"/>
        <w:contextualSpacing/>
        <w:jc w:val="both"/>
        <w:rPr>
          <w:szCs w:val="24"/>
        </w:rPr>
      </w:pPr>
      <w:r w:rsidRPr="00FC4502">
        <w:rPr>
          <w:szCs w:val="24"/>
        </w:rPr>
        <w:t>Zyrtari publik përfiton shtesë vjetore për performancë bazuar në rezultatet vjetore të vlerësimit të punës.</w:t>
      </w:r>
    </w:p>
    <w:p w14:paraId="1F9A06A3" w14:textId="77777777" w:rsidR="00896DBF" w:rsidRPr="00FC4502" w:rsidRDefault="00896DBF" w:rsidP="00896DBF">
      <w:pPr>
        <w:pStyle w:val="ListParagraph"/>
        <w:widowControl/>
        <w:tabs>
          <w:tab w:val="left" w:pos="535"/>
        </w:tabs>
        <w:adjustRightInd w:val="0"/>
        <w:ind w:right="153"/>
        <w:contextualSpacing/>
        <w:jc w:val="both"/>
        <w:rPr>
          <w:szCs w:val="24"/>
        </w:rPr>
      </w:pPr>
    </w:p>
    <w:p w14:paraId="72FD5B94" w14:textId="77777777" w:rsidR="00896DBF" w:rsidRPr="00FC4502" w:rsidRDefault="00896DBF" w:rsidP="00896DBF">
      <w:pPr>
        <w:pStyle w:val="ListParagraph"/>
        <w:widowControl/>
        <w:tabs>
          <w:tab w:val="left" w:pos="535"/>
        </w:tabs>
        <w:adjustRightInd w:val="0"/>
        <w:ind w:right="153"/>
        <w:contextualSpacing/>
        <w:jc w:val="both"/>
        <w:rPr>
          <w:b/>
          <w:szCs w:val="24"/>
        </w:rPr>
      </w:pPr>
      <w:r w:rsidRPr="00FC4502">
        <w:rPr>
          <w:b/>
          <w:szCs w:val="24"/>
        </w:rPr>
        <w:t>Arsyetim:</w:t>
      </w:r>
    </w:p>
    <w:p w14:paraId="7CAF2EBA" w14:textId="77777777" w:rsidR="00896DBF" w:rsidRPr="00FC4502" w:rsidRDefault="00896DBF" w:rsidP="00896DBF">
      <w:pPr>
        <w:pStyle w:val="ListParagraph"/>
        <w:widowControl/>
        <w:tabs>
          <w:tab w:val="left" w:pos="535"/>
        </w:tabs>
        <w:adjustRightInd w:val="0"/>
        <w:ind w:right="153"/>
        <w:contextualSpacing/>
        <w:jc w:val="both"/>
        <w:rPr>
          <w:szCs w:val="24"/>
        </w:rPr>
      </w:pPr>
    </w:p>
    <w:p w14:paraId="67A0A069" w14:textId="77777777" w:rsidR="00C63814" w:rsidRPr="00FC4502" w:rsidRDefault="00C63814" w:rsidP="00896DBF">
      <w:pPr>
        <w:pStyle w:val="ListParagraph"/>
        <w:widowControl/>
        <w:tabs>
          <w:tab w:val="left" w:pos="535"/>
        </w:tabs>
        <w:adjustRightInd w:val="0"/>
        <w:ind w:right="153"/>
        <w:contextualSpacing/>
        <w:jc w:val="both"/>
        <w:rPr>
          <w:szCs w:val="24"/>
        </w:rPr>
      </w:pPr>
      <w:r w:rsidRPr="00FC4502">
        <w:rPr>
          <w:szCs w:val="24"/>
        </w:rPr>
        <w:t>Termet e p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rdorura n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 xml:space="preserve"> k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to dy dispozita ligjore duhet t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 xml:space="preserve"> jen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 xml:space="preserve"> t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 xml:space="preserve"> harmonizuara me dispozitat e tjera t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 xml:space="preserve"> k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tij Ligji dhe Ligjin p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r Zyrtar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t Publik, q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 xml:space="preserve"> n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nkupton se çdo zyrtar q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 xml:space="preserve"> ofron sh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rbime publike quhet Zyrtar Publik dhe jo n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pun</w:t>
      </w:r>
      <w:r w:rsidR="0006349D" w:rsidRPr="00FC4502">
        <w:rPr>
          <w:szCs w:val="24"/>
        </w:rPr>
        <w:t>ë</w:t>
      </w:r>
      <w:r w:rsidRPr="00FC4502">
        <w:rPr>
          <w:szCs w:val="24"/>
        </w:rPr>
        <w:t>s civil.</w:t>
      </w:r>
    </w:p>
    <w:p w14:paraId="0948EFAF" w14:textId="77777777" w:rsidR="00423E10" w:rsidRPr="00FC4502" w:rsidRDefault="00423E10" w:rsidP="00AA3933">
      <w:pPr>
        <w:rPr>
          <w:rFonts w:ascii="Times New Roman" w:hAnsi="Times New Roman" w:cs="Times New Roman"/>
          <w:sz w:val="24"/>
          <w:szCs w:val="24"/>
        </w:rPr>
      </w:pPr>
    </w:p>
    <w:p w14:paraId="4E1FBF26" w14:textId="77777777" w:rsidR="00F220EB" w:rsidRPr="00FC4502" w:rsidRDefault="00F220EB" w:rsidP="00F220EB">
      <w:pPr>
        <w:adjustRightInd w:val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C4502">
        <w:rPr>
          <w:rFonts w:ascii="Times New Roman" w:eastAsia="MS Mincho" w:hAnsi="Times New Roman" w:cs="Times New Roman"/>
          <w:b/>
          <w:sz w:val="24"/>
          <w:szCs w:val="24"/>
        </w:rPr>
        <w:t>Neni 26</w:t>
      </w:r>
    </w:p>
    <w:p w14:paraId="32F505F3" w14:textId="77777777" w:rsidR="00F220EB" w:rsidRPr="00FC4502" w:rsidRDefault="00F220EB" w:rsidP="00F220EB">
      <w:pPr>
        <w:adjustRightInd w:val="0"/>
        <w:ind w:right="15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eastAsia="MS Mincho" w:hAnsi="Times New Roman" w:cs="Times New Roman"/>
          <w:b/>
          <w:sz w:val="24"/>
          <w:szCs w:val="24"/>
        </w:rPr>
        <w:t>Shtesa</w:t>
      </w:r>
      <w:proofErr w:type="spellEnd"/>
      <w:r w:rsidRPr="00FC450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FC450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sz w:val="24"/>
          <w:szCs w:val="24"/>
        </w:rPr>
        <w:t>kushte</w:t>
      </w:r>
      <w:proofErr w:type="spellEnd"/>
      <w:r w:rsidRPr="00FC450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sz w:val="24"/>
          <w:szCs w:val="24"/>
        </w:rPr>
        <w:t>specifike</w:t>
      </w:r>
      <w:proofErr w:type="spellEnd"/>
      <w:r w:rsidRPr="00FC450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FC450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sz w:val="24"/>
          <w:szCs w:val="24"/>
        </w:rPr>
        <w:t>punës</w:t>
      </w:r>
      <w:proofErr w:type="spellEnd"/>
      <w:r w:rsidRPr="00FC450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7CF1F964" w14:textId="77777777" w:rsidR="00F220EB" w:rsidRPr="00FC4502" w:rsidRDefault="00F220EB" w:rsidP="00AA3933">
      <w:pPr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9616B" w14:textId="77777777" w:rsidR="00423E10" w:rsidRPr="00FC4502" w:rsidRDefault="00F220EB" w:rsidP="00AA3933">
      <w:pPr>
        <w:rPr>
          <w:rFonts w:ascii="Times New Roman" w:hAnsi="Times New Roman" w:cs="Times New Roman"/>
          <w:b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Drafti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dor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zuar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1F1B3BE3" w14:textId="77777777" w:rsidR="00F220EB" w:rsidRPr="00FC4502" w:rsidRDefault="00F220EB" w:rsidP="00F220EB">
      <w:pPr>
        <w:pStyle w:val="ListParagraph"/>
        <w:numPr>
          <w:ilvl w:val="0"/>
          <w:numId w:val="4"/>
        </w:numPr>
        <w:ind w:left="85" w:firstLine="0"/>
        <w:jc w:val="both"/>
        <w:rPr>
          <w:szCs w:val="24"/>
        </w:rPr>
      </w:pPr>
      <w:r w:rsidRPr="00FC4502">
        <w:rPr>
          <w:szCs w:val="24"/>
        </w:rPr>
        <w:t>Shtesa për kushte specifike të punës përfitohet nga zyrtarët publikë dhe të punësuarit e tjerë që janë të ekspozuar ndaj rrezikshmërisë në vendin e punës ose kanë kushte specifike të punës të cilat ua rrezikojnë jetën dhe/apo shëndetin.</w:t>
      </w:r>
    </w:p>
    <w:p w14:paraId="72D52A29" w14:textId="77777777" w:rsidR="00F220EB" w:rsidRPr="00FC4502" w:rsidRDefault="00F220EB" w:rsidP="00F220EB">
      <w:pPr>
        <w:pStyle w:val="ListParagraph"/>
        <w:jc w:val="both"/>
        <w:rPr>
          <w:szCs w:val="24"/>
        </w:rPr>
      </w:pPr>
    </w:p>
    <w:p w14:paraId="76BF57A9" w14:textId="77777777" w:rsidR="00F220EB" w:rsidRPr="00FC4502" w:rsidRDefault="00F220EB" w:rsidP="00F220EB">
      <w:pPr>
        <w:pStyle w:val="ListParagraph"/>
        <w:jc w:val="both"/>
        <w:rPr>
          <w:szCs w:val="24"/>
        </w:rPr>
      </w:pPr>
      <w:r w:rsidRPr="00FC4502">
        <w:rPr>
          <w:szCs w:val="24"/>
        </w:rPr>
        <w:t>2. Shtesa e përcaktuar në paragrafin 1 të këtij neni, nuk mund të jetë më e lartë se 1 % e fondeve totale të përdorura nga organizata buxhetore, për pagën bazë të zyrtarëve publik të organizatës buxhetore në të njëjtin vit financiar.</w:t>
      </w:r>
    </w:p>
    <w:p w14:paraId="2592D679" w14:textId="77777777" w:rsidR="00F220EB" w:rsidRPr="00FC4502" w:rsidRDefault="00F220EB" w:rsidP="00F220EB">
      <w:pPr>
        <w:pStyle w:val="ListParagraph"/>
        <w:jc w:val="both"/>
        <w:rPr>
          <w:szCs w:val="24"/>
        </w:rPr>
      </w:pPr>
    </w:p>
    <w:p w14:paraId="0D3A9EFA" w14:textId="77777777" w:rsidR="00F220EB" w:rsidRPr="00FC4502" w:rsidRDefault="00F220EB" w:rsidP="00F220EB">
      <w:pPr>
        <w:pStyle w:val="ListParagraph"/>
        <w:jc w:val="both"/>
        <w:rPr>
          <w:szCs w:val="24"/>
        </w:rPr>
      </w:pPr>
    </w:p>
    <w:p w14:paraId="1CF18715" w14:textId="77777777" w:rsidR="00F220EB" w:rsidRPr="00FC4502" w:rsidRDefault="00F220EB" w:rsidP="00F220EB">
      <w:pPr>
        <w:pStyle w:val="ListParagraph"/>
        <w:jc w:val="both"/>
        <w:rPr>
          <w:b/>
          <w:szCs w:val="24"/>
        </w:rPr>
      </w:pPr>
      <w:r w:rsidRPr="00FC4502">
        <w:rPr>
          <w:b/>
          <w:szCs w:val="24"/>
        </w:rPr>
        <w:t>Propozimi i Od</w:t>
      </w:r>
      <w:r w:rsidR="0006349D" w:rsidRPr="00FC4502">
        <w:rPr>
          <w:b/>
          <w:szCs w:val="24"/>
        </w:rPr>
        <w:t>ë</w:t>
      </w:r>
      <w:r w:rsidRPr="00FC4502">
        <w:rPr>
          <w:b/>
          <w:szCs w:val="24"/>
        </w:rPr>
        <w:t>s:</w:t>
      </w:r>
    </w:p>
    <w:p w14:paraId="78D7F52F" w14:textId="77777777" w:rsidR="00F220EB" w:rsidRPr="00FC4502" w:rsidRDefault="00F220EB" w:rsidP="00F220EB">
      <w:pPr>
        <w:pStyle w:val="ListParagraph"/>
        <w:jc w:val="both"/>
        <w:rPr>
          <w:szCs w:val="24"/>
        </w:rPr>
      </w:pPr>
    </w:p>
    <w:p w14:paraId="0FE613FF" w14:textId="77777777" w:rsidR="00BF3F84" w:rsidRPr="00FC4502" w:rsidRDefault="000C00C8" w:rsidP="000C00C8">
      <w:pPr>
        <w:pStyle w:val="ListParagraph"/>
        <w:jc w:val="both"/>
        <w:rPr>
          <w:szCs w:val="24"/>
        </w:rPr>
      </w:pPr>
      <w:r w:rsidRPr="00FC4502">
        <w:rPr>
          <w:szCs w:val="24"/>
        </w:rPr>
        <w:t xml:space="preserve">1. </w:t>
      </w:r>
      <w:r w:rsidR="00BF3F84" w:rsidRPr="00FC4502">
        <w:rPr>
          <w:szCs w:val="24"/>
        </w:rPr>
        <w:t>Shtesa për kushte specifike të punës përfitohet nga zyrtarët publikë dhe të punësuarit e tjerë që janë të ekspozuar ndaj rrezikshmërisë në vendin e punës ose kanë kushte specifike të punës të cilat ua rrezikojnë jetën dhe/apo shëndetin deri ne 20% te pagës baze.</w:t>
      </w:r>
    </w:p>
    <w:p w14:paraId="0899E44C" w14:textId="77777777" w:rsidR="00BF3F84" w:rsidRPr="00FC4502" w:rsidRDefault="00BF3F84" w:rsidP="00BF3F84">
      <w:pPr>
        <w:rPr>
          <w:rFonts w:ascii="Times New Roman" w:hAnsi="Times New Roman" w:cs="Times New Roman"/>
          <w:sz w:val="24"/>
          <w:szCs w:val="24"/>
        </w:rPr>
      </w:pPr>
    </w:p>
    <w:p w14:paraId="12D7F61A" w14:textId="164384DF" w:rsidR="00BF3F84" w:rsidRPr="00FC4502" w:rsidRDefault="000C00C8" w:rsidP="00BF3F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  </w:t>
      </w:r>
      <w:r w:rsidR="00BF3F84" w:rsidRPr="00FC450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jet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aprovohet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).</w:t>
      </w:r>
    </w:p>
    <w:p w14:paraId="5503A3EA" w14:textId="47EBFFCB" w:rsidR="002C197F" w:rsidRPr="00FC4502" w:rsidRDefault="002C197F" w:rsidP="002C1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>Neni 28</w:t>
      </w:r>
    </w:p>
    <w:p w14:paraId="07B43089" w14:textId="77777777" w:rsidR="002C197F" w:rsidRPr="00FC4502" w:rsidRDefault="002C197F" w:rsidP="002C1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Shtesa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vëllimin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</w:p>
    <w:p w14:paraId="26B6BA28" w14:textId="77777777" w:rsidR="002C197F" w:rsidRPr="00FC4502" w:rsidRDefault="007F5540" w:rsidP="002C19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Drafti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dor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zuar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4B1067D3" w14:textId="77777777" w:rsidR="00F220EB" w:rsidRPr="00FC4502" w:rsidRDefault="00FC5AB3" w:rsidP="002C197F">
      <w:pPr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japin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shtesën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vëllim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vëllimit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kursimet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krijohen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mungesës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lastRenderedPageBreak/>
        <w:t>së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7F5540" w:rsidRPr="00FC4502">
        <w:rPr>
          <w:rFonts w:ascii="Times New Roman" w:hAnsi="Times New Roman" w:cs="Times New Roman"/>
          <w:sz w:val="24"/>
          <w:szCs w:val="24"/>
        </w:rPr>
        <w:t>pun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7F5540" w:rsidRPr="00FC450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civil</w:t>
      </w:r>
      <w:r w:rsidR="002C197F" w:rsidRPr="00FC4502">
        <w:rPr>
          <w:rFonts w:ascii="Times New Roman" w:hAnsi="Times New Roman" w:cs="Times New Roman"/>
          <w:sz w:val="24"/>
          <w:szCs w:val="24"/>
        </w:rPr>
        <w:t xml:space="preserve">, apo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pozitave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paplotësuara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paraparë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7F" w:rsidRPr="00FC450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2C197F" w:rsidRPr="00FC4502">
        <w:rPr>
          <w:rFonts w:ascii="Times New Roman" w:hAnsi="Times New Roman" w:cs="Times New Roman"/>
          <w:sz w:val="24"/>
          <w:szCs w:val="24"/>
        </w:rPr>
        <w:t>.</w:t>
      </w:r>
    </w:p>
    <w:p w14:paraId="76C7242E" w14:textId="77777777" w:rsidR="007F5540" w:rsidRPr="00FC4502" w:rsidRDefault="007F5540" w:rsidP="002C19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50C3E090" w14:textId="77777777" w:rsidR="007F5540" w:rsidRPr="00FC4502" w:rsidRDefault="00FC5AB3" w:rsidP="007F5540">
      <w:pPr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japin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shtesën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vëllim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vëllimit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kursimet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krijohen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mungesës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zyrtarit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, apo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pozitave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paplotësuara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paraparë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0" w:rsidRPr="00FC450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7F5540" w:rsidRPr="00FC4502">
        <w:rPr>
          <w:rFonts w:ascii="Times New Roman" w:hAnsi="Times New Roman" w:cs="Times New Roman"/>
          <w:sz w:val="24"/>
          <w:szCs w:val="24"/>
        </w:rPr>
        <w:t>.</w:t>
      </w:r>
    </w:p>
    <w:p w14:paraId="37AF0FE1" w14:textId="77777777" w:rsidR="00FC5AB3" w:rsidRPr="00FC4502" w:rsidRDefault="00FC5AB3" w:rsidP="002C19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Arsyetim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5200EA0D" w14:textId="77777777" w:rsidR="00005D3F" w:rsidRPr="00FC4502" w:rsidRDefault="00005D3F" w:rsidP="00005D3F">
      <w:pPr>
        <w:tabs>
          <w:tab w:val="left" w:pos="535"/>
        </w:tabs>
        <w:adjustRightInd w:val="0"/>
        <w:ind w:right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Termet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rdorura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dispozita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jen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harmonizuara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Zyrtar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Publik,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nkupton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rbime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quhet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pun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4A0FFBC8" w14:textId="77777777" w:rsidR="002E7A62" w:rsidRPr="00FC4502" w:rsidRDefault="002E7A62" w:rsidP="002E7A62">
      <w:pPr>
        <w:adjustRightInd w:val="0"/>
        <w:ind w:right="15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C4502">
        <w:rPr>
          <w:rFonts w:ascii="Times New Roman" w:eastAsia="MS Mincho" w:hAnsi="Times New Roman" w:cs="Times New Roman"/>
          <w:b/>
          <w:sz w:val="24"/>
          <w:szCs w:val="24"/>
        </w:rPr>
        <w:t>Neni 29</w:t>
      </w:r>
    </w:p>
    <w:p w14:paraId="623B0AB6" w14:textId="77777777" w:rsidR="002E7A62" w:rsidRPr="00FC4502" w:rsidRDefault="002E7A62" w:rsidP="002E7A62">
      <w:pPr>
        <w:adjustRightInd w:val="0"/>
        <w:ind w:right="15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FC4502">
        <w:rPr>
          <w:rFonts w:ascii="Times New Roman" w:eastAsia="MS Mincho" w:hAnsi="Times New Roman" w:cs="Times New Roman"/>
          <w:b/>
          <w:sz w:val="24"/>
          <w:szCs w:val="24"/>
        </w:rPr>
        <w:t>Shtesa</w:t>
      </w:r>
      <w:proofErr w:type="spellEnd"/>
      <w:r w:rsidRPr="00FC450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për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provim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shtetëror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për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nëpunësin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arsimit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universitar</w:t>
      </w:r>
      <w:proofErr w:type="spellEnd"/>
    </w:p>
    <w:p w14:paraId="1AD95D25" w14:textId="77777777" w:rsidR="002E7A62" w:rsidRPr="00FC4502" w:rsidRDefault="002E7A62" w:rsidP="002E7A62">
      <w:pPr>
        <w:adjustRightInd w:val="0"/>
        <w:ind w:right="153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Drafti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i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dor</w:t>
      </w:r>
      <w:r w:rsidR="0006349D"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ë</w:t>
      </w:r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zuar</w:t>
      </w:r>
      <w:proofErr w:type="spellEnd"/>
      <w:r w:rsidRPr="00FC4502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14:paraId="1FD70406" w14:textId="77777777" w:rsidR="002E7A62" w:rsidRPr="00FC4502" w:rsidRDefault="002E7A62" w:rsidP="002E7A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 w:right="15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1.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Të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gjithë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nëpunësit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e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arsimit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para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universitar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në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shkollat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e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Republikës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së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Kosovës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nëse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kalojnë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provimin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shtetëror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i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cili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do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të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përcaktohet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përmes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një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akti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të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veçantë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kanë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të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drejtë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të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përfitojnë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shtesën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për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provim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shtetëror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Provimi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shtetëror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nuk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nënkupton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licencimin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</w:p>
    <w:p w14:paraId="16C21AC5" w14:textId="77777777" w:rsidR="00005D3F" w:rsidRPr="00FC4502" w:rsidRDefault="00005D3F" w:rsidP="002C197F">
      <w:pPr>
        <w:rPr>
          <w:rFonts w:ascii="Times New Roman" w:hAnsi="Times New Roman" w:cs="Times New Roman"/>
          <w:sz w:val="24"/>
          <w:szCs w:val="24"/>
        </w:rPr>
      </w:pPr>
    </w:p>
    <w:p w14:paraId="2F89C113" w14:textId="77777777" w:rsidR="00E457D1" w:rsidRPr="00FC4502" w:rsidRDefault="00E457D1" w:rsidP="00E457D1">
      <w:pPr>
        <w:rPr>
          <w:rFonts w:ascii="Times New Roman" w:hAnsi="Times New Roman" w:cs="Times New Roman"/>
          <w:b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52C0B0A5" w14:textId="77777777" w:rsidR="00E457D1" w:rsidRPr="00FC4502" w:rsidRDefault="00E457D1" w:rsidP="002D10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 w:right="153"/>
        <w:jc w:val="both"/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1.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Të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>gjithë</w:t>
      </w:r>
      <w:proofErr w:type="spellEnd"/>
      <w:r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E05E48" w:rsidRPr="00FC4502">
        <w:rPr>
          <w:rFonts w:ascii="Times New Roman" w:eastAsia="MS Mincho" w:hAnsi="Times New Roman" w:cs="Times New Roman"/>
          <w:bCs/>
          <w:sz w:val="24"/>
          <w:szCs w:val="24"/>
        </w:rPr>
        <w:t>zyrtar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r w:rsidR="00E05E48" w:rsidRPr="00FC4502">
        <w:rPr>
          <w:rFonts w:ascii="Times New Roman" w:eastAsia="MS Mincho" w:hAnsi="Times New Roman" w:cs="Times New Roman"/>
          <w:bCs/>
          <w:sz w:val="24"/>
          <w:szCs w:val="24"/>
        </w:rPr>
        <w:t>t</w:t>
      </w:r>
      <w:proofErr w:type="spellEnd"/>
      <w:r w:rsidR="00E05E48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E05E48" w:rsidRPr="00FC4502">
        <w:rPr>
          <w:rFonts w:ascii="Times New Roman" w:eastAsia="MS Mincho" w:hAnsi="Times New Roman" w:cs="Times New Roman"/>
          <w:bCs/>
          <w:sz w:val="24"/>
          <w:szCs w:val="24"/>
        </w:rPr>
        <w:t>publik</w:t>
      </w:r>
      <w:proofErr w:type="spellEnd"/>
      <w:r w:rsidR="00E05E48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Instiucionet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e RKS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se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e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kalojn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provimin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shtet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ror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i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cili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do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p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rcaktohet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p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rmes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nj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akti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veçant</w:t>
      </w:r>
      <w:r w:rsidR="0006349D" w:rsidRPr="00FC4502">
        <w:rPr>
          <w:rFonts w:ascii="Times New Roman" w:eastAsia="MS Mincho" w:hAnsi="Times New Roman" w:cs="Times New Roman"/>
          <w:bCs/>
          <w:sz w:val="24"/>
          <w:szCs w:val="24"/>
        </w:rPr>
        <w:t>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kanë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të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drejtë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të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përfitojnë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shtesën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për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provim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shtetëror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Provimi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shtetëror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nuk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nënkupton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licencimin</w:t>
      </w:r>
      <w:proofErr w:type="spellEnd"/>
      <w:r w:rsidR="002D1053" w:rsidRPr="00FC4502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933466E" w14:textId="77777777" w:rsidR="002D69CA" w:rsidRPr="00FC4502" w:rsidRDefault="002D69CA" w:rsidP="002C197F">
      <w:pPr>
        <w:rPr>
          <w:rFonts w:ascii="Times New Roman" w:hAnsi="Times New Roman" w:cs="Times New Roman"/>
          <w:b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Arsyetim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2B5638AF" w14:textId="431C0252" w:rsidR="00F81643" w:rsidRPr="00FC4502" w:rsidRDefault="009D087E" w:rsidP="002C197F">
      <w:pPr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Konsiderojm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2D1053" w:rsidRPr="00FC4502">
        <w:rPr>
          <w:rFonts w:ascii="Times New Roman" w:hAnsi="Times New Roman" w:cs="Times New Roman"/>
          <w:sz w:val="24"/>
          <w:szCs w:val="24"/>
        </w:rPr>
        <w:t>sht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diskriminues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2D1053" w:rsidRPr="00FC4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profesionet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rregulluara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Kushtetut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2D1053" w:rsidRPr="00FC450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e RKS.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Andaj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2D1053" w:rsidRPr="00FC4502">
        <w:rPr>
          <w:rFonts w:ascii="Times New Roman" w:hAnsi="Times New Roman" w:cs="Times New Roman"/>
          <w:sz w:val="24"/>
          <w:szCs w:val="24"/>
        </w:rPr>
        <w:t>rkojm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q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propozimi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Od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2D1053" w:rsidRPr="00FC45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p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2D1053" w:rsidRPr="00FC4502">
        <w:rPr>
          <w:rFonts w:ascii="Times New Roman" w:hAnsi="Times New Roman" w:cs="Times New Roman"/>
          <w:sz w:val="24"/>
          <w:szCs w:val="24"/>
        </w:rPr>
        <w:t>rfshihet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prozimit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kund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2D1053" w:rsidRPr="00FC4502">
        <w:rPr>
          <w:rFonts w:ascii="Times New Roman" w:hAnsi="Times New Roman" w:cs="Times New Roman"/>
          <w:sz w:val="24"/>
          <w:szCs w:val="24"/>
        </w:rPr>
        <w:t>rt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="002D1053" w:rsidRPr="00FC450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dispozit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diskriminon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profesionet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t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largohet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53" w:rsidRPr="00FC4502">
        <w:rPr>
          <w:rFonts w:ascii="Times New Roman" w:hAnsi="Times New Roman" w:cs="Times New Roman"/>
          <w:sz w:val="24"/>
          <w:szCs w:val="24"/>
        </w:rPr>
        <w:t>Projektligji</w:t>
      </w:r>
      <w:proofErr w:type="spellEnd"/>
      <w:r w:rsidR="002D1053" w:rsidRPr="00FC4502">
        <w:rPr>
          <w:rFonts w:ascii="Times New Roman" w:hAnsi="Times New Roman" w:cs="Times New Roman"/>
          <w:sz w:val="24"/>
          <w:szCs w:val="24"/>
        </w:rPr>
        <w:t>.</w:t>
      </w:r>
    </w:p>
    <w:p w14:paraId="23F73314" w14:textId="77777777" w:rsidR="00B736CD" w:rsidRPr="00FC4502" w:rsidRDefault="00B736CD" w:rsidP="00B736CD">
      <w:pPr>
        <w:pStyle w:val="ListParagraph"/>
        <w:adjustRightInd w:val="0"/>
        <w:ind w:right="153"/>
        <w:jc w:val="center"/>
        <w:rPr>
          <w:b/>
          <w:szCs w:val="24"/>
        </w:rPr>
      </w:pPr>
      <w:r w:rsidRPr="00FC4502">
        <w:rPr>
          <w:b/>
          <w:szCs w:val="24"/>
        </w:rPr>
        <w:t>Neni 33</w:t>
      </w:r>
      <w:r w:rsidRPr="00FC4502">
        <w:rPr>
          <w:b/>
          <w:szCs w:val="24"/>
        </w:rPr>
        <w:br/>
        <w:t>Shtesa e funksionale për nëpunësin e sistemit shëndetësor</w:t>
      </w:r>
    </w:p>
    <w:p w14:paraId="5D6F4188" w14:textId="77777777" w:rsidR="00B736CD" w:rsidRPr="00FC4502" w:rsidRDefault="00B736CD" w:rsidP="00B736CD">
      <w:pPr>
        <w:pStyle w:val="ListParagraph"/>
        <w:adjustRightInd w:val="0"/>
        <w:ind w:right="153"/>
        <w:jc w:val="both"/>
        <w:rPr>
          <w:szCs w:val="24"/>
        </w:rPr>
      </w:pPr>
    </w:p>
    <w:p w14:paraId="1031F240" w14:textId="77777777" w:rsidR="00B736CD" w:rsidRPr="00FC4502" w:rsidRDefault="00B736CD" w:rsidP="00B736CD">
      <w:pPr>
        <w:pStyle w:val="ListParagraph"/>
        <w:adjustRightInd w:val="0"/>
        <w:ind w:right="153"/>
        <w:jc w:val="both"/>
        <w:rPr>
          <w:b/>
          <w:szCs w:val="24"/>
        </w:rPr>
      </w:pPr>
      <w:r w:rsidRPr="00FC4502">
        <w:rPr>
          <w:b/>
          <w:szCs w:val="24"/>
        </w:rPr>
        <w:t>Drafti i dorëzuar:</w:t>
      </w:r>
    </w:p>
    <w:p w14:paraId="67272DAE" w14:textId="77777777" w:rsidR="00B736CD" w:rsidRPr="00FC4502" w:rsidRDefault="00B736CD" w:rsidP="00B736CD">
      <w:pPr>
        <w:pStyle w:val="ListParagraph"/>
        <w:adjustRightInd w:val="0"/>
        <w:ind w:right="153"/>
        <w:jc w:val="both"/>
        <w:rPr>
          <w:szCs w:val="24"/>
        </w:rPr>
      </w:pPr>
    </w:p>
    <w:p w14:paraId="65106166" w14:textId="77777777" w:rsidR="00B736CD" w:rsidRPr="00FC4502" w:rsidRDefault="00B736CD" w:rsidP="00B736CD">
      <w:pPr>
        <w:pStyle w:val="ListParagraph"/>
        <w:widowControl/>
        <w:adjustRightInd w:val="0"/>
        <w:ind w:right="153"/>
        <w:contextualSpacing/>
        <w:jc w:val="both"/>
        <w:rPr>
          <w:szCs w:val="24"/>
        </w:rPr>
      </w:pPr>
      <w:r w:rsidRPr="00FC4502">
        <w:rPr>
          <w:szCs w:val="24"/>
        </w:rPr>
        <w:t>1. Nëpunësit e sistemit shendetesore Spitalor Klinik Universitar të Kosovës dhe në kujdesin parësor shëndetësor, që ushtrojnë funksione udhëheqëse dhe të cilët nuk janë pjesë e shtojcave të këtij ligji përfitojnë shtesë të posaçme për ushtrimin e funksionit përkatës. Vlera e shtesës sipas këtij paragrafi nuk mund të kalojë njëzet përqind (20 %) të pagës bazë.</w:t>
      </w:r>
    </w:p>
    <w:p w14:paraId="40756331" w14:textId="77777777" w:rsidR="00B736CD" w:rsidRPr="00FC4502" w:rsidRDefault="00B736CD" w:rsidP="00B736CD">
      <w:pPr>
        <w:pStyle w:val="ListParagraph"/>
        <w:adjustRightInd w:val="0"/>
        <w:ind w:right="153"/>
        <w:jc w:val="both"/>
        <w:rPr>
          <w:szCs w:val="24"/>
        </w:rPr>
      </w:pPr>
    </w:p>
    <w:p w14:paraId="726B202C" w14:textId="77777777" w:rsidR="00B736CD" w:rsidRPr="00FC4502" w:rsidRDefault="00B736CD" w:rsidP="00B736CD">
      <w:pPr>
        <w:pStyle w:val="ListParagraph"/>
        <w:widowControl/>
        <w:adjustRightInd w:val="0"/>
        <w:ind w:right="153"/>
        <w:contextualSpacing/>
        <w:jc w:val="both"/>
        <w:rPr>
          <w:szCs w:val="24"/>
        </w:rPr>
      </w:pPr>
      <w:r w:rsidRPr="00FC4502">
        <w:rPr>
          <w:szCs w:val="24"/>
        </w:rPr>
        <w:lastRenderedPageBreak/>
        <w:t>2. Nëpunësi i sistemit shëndetësor, i cili ushtron detyrën si personel akademik në arsimin universitar, kur këtë e lejon ligji përfiton një shtesë në vlerë prej tridhjetë përqind (30%) të pagës bazë për pozitën me orar të plotë të punës në arsimin universitar.</w:t>
      </w:r>
    </w:p>
    <w:p w14:paraId="12BE1BDE" w14:textId="77777777" w:rsidR="00B736CD" w:rsidRPr="00FC4502" w:rsidRDefault="00B736CD" w:rsidP="00B736CD">
      <w:pPr>
        <w:rPr>
          <w:rFonts w:ascii="Times New Roman" w:hAnsi="Times New Roman" w:cs="Times New Roman"/>
          <w:sz w:val="24"/>
          <w:szCs w:val="24"/>
        </w:rPr>
      </w:pPr>
    </w:p>
    <w:p w14:paraId="223FCC12" w14:textId="77777777" w:rsidR="00B736CD" w:rsidRPr="00FC4502" w:rsidRDefault="00B736CD" w:rsidP="00B736CD">
      <w:pPr>
        <w:rPr>
          <w:rFonts w:ascii="Times New Roman" w:hAnsi="Times New Roman" w:cs="Times New Roman"/>
          <w:b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Odës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04849FC4" w14:textId="77777777" w:rsidR="00B736CD" w:rsidRPr="00FC4502" w:rsidRDefault="00B736CD" w:rsidP="00B736CD">
      <w:pPr>
        <w:pStyle w:val="ListParagraph"/>
        <w:widowControl/>
        <w:adjustRightInd w:val="0"/>
        <w:ind w:right="153"/>
        <w:contextualSpacing/>
        <w:jc w:val="both"/>
        <w:rPr>
          <w:szCs w:val="24"/>
          <w:highlight w:val="green"/>
        </w:rPr>
      </w:pPr>
      <w:r w:rsidRPr="00FC4502">
        <w:rPr>
          <w:szCs w:val="24"/>
        </w:rPr>
        <w:t>1</w:t>
      </w:r>
      <w:r w:rsidRPr="00FC4502">
        <w:rPr>
          <w:b/>
          <w:szCs w:val="24"/>
        </w:rPr>
        <w:t xml:space="preserve">. </w:t>
      </w:r>
      <w:r w:rsidRPr="00FC4502">
        <w:rPr>
          <w:szCs w:val="24"/>
        </w:rPr>
        <w:t>Nëpunësit e sistemit shendetesore përfitojnë shtesë të posaçme për ushtrimin e funksionit udhehëqese. Vlera e shtesës sipas këtij paragrafi përqind duhet të jetë nga 10-30 % (dhjetë deri tridhjetë përqind) të pagës bazë.</w:t>
      </w:r>
    </w:p>
    <w:p w14:paraId="6EF1D1C8" w14:textId="77777777" w:rsidR="00B736CD" w:rsidRPr="00FC4502" w:rsidRDefault="00B736CD" w:rsidP="00B736CD">
      <w:pPr>
        <w:pStyle w:val="ListParagraph"/>
        <w:adjustRightInd w:val="0"/>
        <w:ind w:right="153"/>
        <w:jc w:val="both"/>
        <w:rPr>
          <w:szCs w:val="24"/>
        </w:rPr>
      </w:pPr>
    </w:p>
    <w:p w14:paraId="4E09CC9B" w14:textId="77777777" w:rsidR="00B736CD" w:rsidRPr="00FC4502" w:rsidRDefault="00B736CD" w:rsidP="00B736CD">
      <w:pPr>
        <w:pStyle w:val="ListParagraph"/>
        <w:widowControl/>
        <w:adjustRightInd w:val="0"/>
        <w:ind w:right="153"/>
        <w:contextualSpacing/>
        <w:jc w:val="both"/>
        <w:rPr>
          <w:szCs w:val="24"/>
        </w:rPr>
      </w:pPr>
      <w:r w:rsidRPr="00FC4502">
        <w:rPr>
          <w:szCs w:val="24"/>
        </w:rPr>
        <w:t>2. Nëpunësi i sistemit shëndetësor, i cili ushtron detyrën si personel akademik në arsimin universitar, kur këtë e lejon ligji përfiton një shtesë në vlerë prej tridhjetë përqind (30%) të pagës bazë për pozitën me orar të plotë të punës në arsimin universitar apo ne sistemin shendetesore.</w:t>
      </w:r>
    </w:p>
    <w:p w14:paraId="47C53ABD" w14:textId="77777777" w:rsidR="00B736CD" w:rsidRPr="00FC4502" w:rsidRDefault="00B736CD" w:rsidP="00002B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53888" w14:textId="7A952BFB" w:rsidR="00002BBB" w:rsidRPr="00FC4502" w:rsidRDefault="00002BBB" w:rsidP="00002B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502">
        <w:rPr>
          <w:rFonts w:ascii="Times New Roman" w:hAnsi="Times New Roman" w:cs="Times New Roman"/>
          <w:b/>
          <w:bCs/>
          <w:sz w:val="24"/>
          <w:szCs w:val="24"/>
        </w:rPr>
        <w:t>Neni 36</w:t>
      </w:r>
      <w:r w:rsidRPr="00FC450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Kompensimi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kujdestari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punën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natës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jashtë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orarit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punës</w:t>
      </w:r>
      <w:proofErr w:type="spellEnd"/>
    </w:p>
    <w:p w14:paraId="6D66A394" w14:textId="77777777" w:rsidR="00002BBB" w:rsidRPr="00FC4502" w:rsidRDefault="00002BBB" w:rsidP="00002B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E4D72" w14:textId="77777777" w:rsidR="00002BBB" w:rsidRPr="00FC4502" w:rsidRDefault="00002BBB" w:rsidP="00002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Drafti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bCs/>
          <w:sz w:val="24"/>
          <w:szCs w:val="24"/>
        </w:rPr>
        <w:t>dor</w:t>
      </w:r>
      <w:r w:rsidR="0006349D" w:rsidRPr="00FC4502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bCs/>
          <w:sz w:val="24"/>
          <w:szCs w:val="24"/>
        </w:rPr>
        <w:t>zuar</w:t>
      </w:r>
      <w:proofErr w:type="spellEnd"/>
      <w:r w:rsidRPr="00FC45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0DB872" w14:textId="77777777" w:rsidR="00002BBB" w:rsidRPr="00FC4502" w:rsidRDefault="00002BBB" w:rsidP="00002BBB">
      <w:pPr>
        <w:pStyle w:val="ListParagraph"/>
        <w:widowControl/>
        <w:autoSpaceDE/>
        <w:autoSpaceDN/>
        <w:ind w:left="90" w:right="150"/>
        <w:jc w:val="both"/>
        <w:rPr>
          <w:bCs/>
          <w:szCs w:val="24"/>
        </w:rPr>
      </w:pPr>
      <w:r w:rsidRPr="00FC4502">
        <w:rPr>
          <w:bCs/>
          <w:szCs w:val="24"/>
        </w:rPr>
        <w:t>1. Kompensimi p</w:t>
      </w:r>
      <w:r w:rsidRPr="00FC4502">
        <w:rPr>
          <w:rFonts w:eastAsia="MS Mincho"/>
          <w:bCs/>
          <w:szCs w:val="24"/>
        </w:rPr>
        <w:t>ër kujdestari sipas këtij ligji</w:t>
      </w:r>
      <w:r w:rsidRPr="00FC4502">
        <w:rPr>
          <w:bCs/>
          <w:szCs w:val="24"/>
        </w:rPr>
        <w:t xml:space="preserve"> nuk mund t</w:t>
      </w:r>
      <w:r w:rsidRPr="00FC4502">
        <w:rPr>
          <w:rFonts w:eastAsia="MS Mincho"/>
          <w:bCs/>
          <w:szCs w:val="24"/>
        </w:rPr>
        <w:t xml:space="preserve">ë tejkalojë </w:t>
      </w:r>
      <w:r w:rsidRPr="00FC4502">
        <w:rPr>
          <w:bCs/>
          <w:szCs w:val="24"/>
        </w:rPr>
        <w:t>20% të pagës bazë.</w:t>
      </w:r>
    </w:p>
    <w:p w14:paraId="2A69E9CC" w14:textId="77777777" w:rsidR="00002BBB" w:rsidRPr="00FC4502" w:rsidRDefault="00002BBB" w:rsidP="002C197F">
      <w:pPr>
        <w:rPr>
          <w:rFonts w:ascii="Times New Roman" w:hAnsi="Times New Roman" w:cs="Times New Roman"/>
          <w:sz w:val="24"/>
          <w:szCs w:val="24"/>
        </w:rPr>
      </w:pPr>
    </w:p>
    <w:p w14:paraId="3C3AFEAB" w14:textId="77777777" w:rsidR="00002BBB" w:rsidRPr="00FC4502" w:rsidRDefault="00002BBB" w:rsidP="002C197F">
      <w:pPr>
        <w:rPr>
          <w:rFonts w:ascii="Times New Roman" w:hAnsi="Times New Roman" w:cs="Times New Roman"/>
          <w:b/>
          <w:sz w:val="24"/>
          <w:szCs w:val="24"/>
        </w:rPr>
      </w:pPr>
      <w:r w:rsidRPr="00FC45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</w:t>
      </w:r>
      <w:r w:rsidR="0006349D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3E48AB81" w14:textId="77777777" w:rsidR="00EF2E5F" w:rsidRPr="00FC4502" w:rsidRDefault="00EF2E5F" w:rsidP="002C197F">
      <w:pPr>
        <w:rPr>
          <w:rFonts w:ascii="Times New Roman" w:hAnsi="Times New Roman" w:cs="Times New Roman"/>
          <w:sz w:val="24"/>
          <w:szCs w:val="24"/>
        </w:rPr>
      </w:pPr>
      <w:r w:rsidRPr="00FC45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</w:t>
      </w:r>
      <w:r w:rsidR="0006349D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Neni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vleje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sepse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kolapson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.</w:t>
      </w:r>
    </w:p>
    <w:p w14:paraId="1EF1A40D" w14:textId="77777777" w:rsidR="00741EBB" w:rsidRPr="00FC4502" w:rsidRDefault="00741EBB" w:rsidP="002C19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Shtojcat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370C32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Projektligjin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Pagat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konsideroi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nevoj</w:t>
      </w:r>
      <w:r w:rsidR="00370C32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plot</w:t>
      </w:r>
      <w:r w:rsidR="00370C32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sim-ndryshimit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370C32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Shtojc</w:t>
      </w:r>
      <w:r w:rsidR="00370C32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Shtojc</w:t>
      </w:r>
      <w:r w:rsidR="00370C32" w:rsidRPr="00FC4502">
        <w:rPr>
          <w:rFonts w:ascii="Times New Roman" w:hAnsi="Times New Roman" w:cs="Times New Roman"/>
          <w:sz w:val="24"/>
          <w:szCs w:val="24"/>
        </w:rPr>
        <w:t>ë</w:t>
      </w:r>
      <w:r w:rsidRPr="00FC450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n</w:t>
      </w:r>
      <w:r w:rsidR="00370C32" w:rsidRPr="00FC4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FC4502">
        <w:rPr>
          <w:rFonts w:ascii="Times New Roman" w:hAnsi="Times New Roman" w:cs="Times New Roman"/>
          <w:sz w:val="24"/>
          <w:szCs w:val="24"/>
        </w:rPr>
        <w:t>:</w:t>
      </w:r>
    </w:p>
    <w:p w14:paraId="62E9EC52" w14:textId="667AB9A8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0D314191" w14:textId="35AD21DB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4DF8A1A7" w14:textId="565E6E5D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7FBCD8CC" w14:textId="0AD60359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4F4B1CE9" w14:textId="0FA0FD99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2E2DA017" w14:textId="27634D1A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2791A182" w14:textId="18EDC182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7425646D" w14:textId="598A9F62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3611611F" w14:textId="53C7B907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3012286C" w14:textId="43A579C5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39250B1A" w14:textId="77777777" w:rsidR="00B736CD" w:rsidRPr="00FC4502" w:rsidRDefault="00B736CD" w:rsidP="002C197F">
      <w:pPr>
        <w:rPr>
          <w:rFonts w:ascii="Times New Roman" w:hAnsi="Times New Roman" w:cs="Times New Roman"/>
          <w:sz w:val="24"/>
          <w:szCs w:val="24"/>
        </w:rPr>
      </w:pPr>
    </w:p>
    <w:p w14:paraId="2DD4FA4A" w14:textId="4F52DE40" w:rsidR="00741EBB" w:rsidRPr="00FC4502" w:rsidRDefault="00741EBB" w:rsidP="002C19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Shtojca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2 –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plot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sim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em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rtimit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t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pozit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n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pik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5E92BD1A" w14:textId="77777777" w:rsidR="00741EBB" w:rsidRPr="00FC4502" w:rsidRDefault="00741EBB" w:rsidP="002C197F">
      <w:pPr>
        <w:rPr>
          <w:rFonts w:ascii="Times New Roman" w:hAnsi="Times New Roman" w:cs="Times New Roman"/>
          <w:sz w:val="24"/>
          <w:szCs w:val="24"/>
        </w:rPr>
      </w:pPr>
    </w:p>
    <w:p w14:paraId="4478DAEE" w14:textId="77777777" w:rsidR="00741EBB" w:rsidRPr="00FC4502" w:rsidRDefault="00741EBB" w:rsidP="002C197F">
      <w:pPr>
        <w:rPr>
          <w:rFonts w:ascii="Times New Roman" w:hAnsi="Times New Roman" w:cs="Times New Roman"/>
          <w:sz w:val="24"/>
          <w:szCs w:val="24"/>
        </w:rPr>
      </w:pPr>
    </w:p>
    <w:p w14:paraId="6B73B493" w14:textId="77777777" w:rsidR="00741EBB" w:rsidRPr="00FC4502" w:rsidRDefault="00741EBB" w:rsidP="002C19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1A7B7616" w14:textId="77777777" w:rsidR="00827A3F" w:rsidRPr="00FC4502" w:rsidRDefault="00827A3F" w:rsidP="002C197F">
      <w:pPr>
        <w:rPr>
          <w:rFonts w:ascii="Times New Roman" w:hAnsi="Times New Roman" w:cs="Times New Roman"/>
          <w:sz w:val="24"/>
          <w:szCs w:val="24"/>
        </w:rPr>
      </w:pPr>
    </w:p>
    <w:p w14:paraId="0D6DF453" w14:textId="77777777" w:rsidR="00827A3F" w:rsidRPr="00FC4502" w:rsidRDefault="00827A3F" w:rsidP="002C19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Shtojca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9 –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plot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sim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650" w:rsidRPr="00FC4502">
        <w:rPr>
          <w:rFonts w:ascii="Times New Roman" w:hAnsi="Times New Roman" w:cs="Times New Roman"/>
          <w:b/>
          <w:sz w:val="24"/>
          <w:szCs w:val="24"/>
        </w:rPr>
        <w:t>Em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="001B3650" w:rsidRPr="00FC4502">
        <w:rPr>
          <w:rFonts w:ascii="Times New Roman" w:hAnsi="Times New Roman" w:cs="Times New Roman"/>
          <w:b/>
          <w:sz w:val="24"/>
          <w:szCs w:val="24"/>
        </w:rPr>
        <w:t>rtimit</w:t>
      </w:r>
      <w:proofErr w:type="spellEnd"/>
      <w:r w:rsidR="001B3650"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650" w:rsidRPr="00FC4502">
        <w:rPr>
          <w:rFonts w:ascii="Times New Roman" w:hAnsi="Times New Roman" w:cs="Times New Roman"/>
          <w:b/>
          <w:sz w:val="24"/>
          <w:szCs w:val="24"/>
        </w:rPr>
        <w:t>t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1B3650"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650" w:rsidRPr="00FC4502">
        <w:rPr>
          <w:rFonts w:ascii="Times New Roman" w:hAnsi="Times New Roman" w:cs="Times New Roman"/>
          <w:b/>
          <w:sz w:val="24"/>
          <w:szCs w:val="24"/>
        </w:rPr>
        <w:t>pozit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="001B3650"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1B3650" w:rsidRPr="00FC45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B3650" w:rsidRPr="00FC4502">
        <w:rPr>
          <w:rFonts w:ascii="Times New Roman" w:hAnsi="Times New Roman" w:cs="Times New Roman"/>
          <w:b/>
          <w:sz w:val="24"/>
          <w:szCs w:val="24"/>
        </w:rPr>
        <w:t>Klas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="001B3650"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1B3650" w:rsidRPr="00FC45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B3650" w:rsidRPr="00FC4502">
        <w:rPr>
          <w:rFonts w:ascii="Times New Roman" w:hAnsi="Times New Roman" w:cs="Times New Roman"/>
          <w:b/>
          <w:sz w:val="24"/>
          <w:szCs w:val="24"/>
        </w:rPr>
        <w:t>Koeficientit</w:t>
      </w:r>
      <w:proofErr w:type="spellEnd"/>
      <w:r w:rsidR="001B3650"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650" w:rsidRPr="00FC4502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1B3650"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Fush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Zbatimit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42CED2" w14:textId="77777777" w:rsidR="00F372A8" w:rsidRPr="00FC4502" w:rsidRDefault="00F372A8" w:rsidP="002C197F">
      <w:pPr>
        <w:rPr>
          <w:rFonts w:ascii="Times New Roman" w:hAnsi="Times New Roman" w:cs="Times New Roman"/>
          <w:sz w:val="24"/>
          <w:szCs w:val="24"/>
        </w:rPr>
      </w:pPr>
    </w:p>
    <w:p w14:paraId="740530BE" w14:textId="77777777" w:rsidR="00F372A8" w:rsidRPr="00FC4502" w:rsidRDefault="00F372A8" w:rsidP="002C19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Drafti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pranuar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p w14:paraId="091620A3" w14:textId="77777777" w:rsidR="001B3650" w:rsidRPr="00FC4502" w:rsidRDefault="001B3650" w:rsidP="002C197F">
      <w:pPr>
        <w:rPr>
          <w:rFonts w:ascii="Times New Roman" w:hAnsi="Times New Roman" w:cs="Times New Roman"/>
          <w:sz w:val="24"/>
          <w:szCs w:val="24"/>
        </w:rPr>
      </w:pPr>
    </w:p>
    <w:p w14:paraId="30EEC350" w14:textId="77777777" w:rsidR="00F372A8" w:rsidRPr="00FC4502" w:rsidRDefault="00CA0F30" w:rsidP="002C19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Propozimi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502">
        <w:rPr>
          <w:rFonts w:ascii="Times New Roman" w:hAnsi="Times New Roman" w:cs="Times New Roman"/>
          <w:b/>
          <w:sz w:val="24"/>
          <w:szCs w:val="24"/>
        </w:rPr>
        <w:t>Od</w:t>
      </w:r>
      <w:r w:rsidR="00370C32" w:rsidRPr="00FC4502">
        <w:rPr>
          <w:rFonts w:ascii="Times New Roman" w:hAnsi="Times New Roman" w:cs="Times New Roman"/>
          <w:b/>
          <w:sz w:val="24"/>
          <w:szCs w:val="24"/>
        </w:rPr>
        <w:t>ë</w:t>
      </w:r>
      <w:r w:rsidRPr="00FC450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C450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794"/>
        <w:gridCol w:w="699"/>
        <w:gridCol w:w="699"/>
        <w:gridCol w:w="1398"/>
        <w:gridCol w:w="2795"/>
      </w:tblGrid>
      <w:tr w:rsidR="00CA0F30" w:rsidRPr="00FC4502" w14:paraId="523BFF05" w14:textId="77777777" w:rsidTr="00F2273F">
        <w:trPr>
          <w:trHeight w:val="512"/>
        </w:trPr>
        <w:tc>
          <w:tcPr>
            <w:tcW w:w="9084" w:type="dxa"/>
            <w:gridSpan w:val="6"/>
            <w:shd w:val="clear" w:color="auto" w:fill="ECECEC"/>
          </w:tcPr>
          <w:p w14:paraId="52C7B372" w14:textId="77777777" w:rsidR="00CA0F30" w:rsidRPr="00FC4502" w:rsidRDefault="00CA0F30" w:rsidP="00F2273F">
            <w:pPr>
              <w:pStyle w:val="TableParagraph"/>
              <w:spacing w:before="148"/>
              <w:ind w:left="1871" w:right="1851"/>
              <w:jc w:val="center"/>
              <w:rPr>
                <w:b/>
                <w:sz w:val="20"/>
              </w:rPr>
            </w:pPr>
            <w:r w:rsidRPr="00FC4502">
              <w:rPr>
                <w:b/>
                <w:sz w:val="20"/>
              </w:rPr>
              <w:t>SHTOJCA</w:t>
            </w:r>
            <w:r w:rsidRPr="00FC4502">
              <w:rPr>
                <w:b/>
                <w:spacing w:val="-8"/>
                <w:sz w:val="20"/>
              </w:rPr>
              <w:t xml:space="preserve"> </w:t>
            </w:r>
            <w:r w:rsidRPr="00FC4502">
              <w:rPr>
                <w:b/>
                <w:sz w:val="20"/>
              </w:rPr>
              <w:t>NR.9</w:t>
            </w:r>
            <w:r w:rsidRPr="00FC4502">
              <w:rPr>
                <w:b/>
                <w:spacing w:val="-7"/>
                <w:sz w:val="20"/>
              </w:rPr>
              <w:t xml:space="preserve"> </w:t>
            </w:r>
            <w:r w:rsidRPr="00FC4502">
              <w:rPr>
                <w:b/>
                <w:sz w:val="20"/>
              </w:rPr>
              <w:t>-</w:t>
            </w:r>
            <w:r w:rsidRPr="00FC4502">
              <w:rPr>
                <w:b/>
                <w:spacing w:val="-8"/>
                <w:sz w:val="20"/>
              </w:rPr>
              <w:t xml:space="preserve"> </w:t>
            </w:r>
            <w:r w:rsidRPr="00FC4502">
              <w:rPr>
                <w:b/>
                <w:sz w:val="20"/>
              </w:rPr>
              <w:t>SISTEMI</w:t>
            </w:r>
            <w:r w:rsidRPr="00FC4502">
              <w:rPr>
                <w:b/>
                <w:spacing w:val="-8"/>
                <w:sz w:val="20"/>
              </w:rPr>
              <w:t xml:space="preserve"> </w:t>
            </w:r>
            <w:r w:rsidRPr="00FC4502">
              <w:rPr>
                <w:b/>
                <w:sz w:val="20"/>
              </w:rPr>
              <w:t>SHËNDETËSOR</w:t>
            </w:r>
          </w:p>
        </w:tc>
      </w:tr>
      <w:tr w:rsidR="00CA0F30" w:rsidRPr="00FC4502" w14:paraId="718657AF" w14:textId="77777777" w:rsidTr="00F2273F">
        <w:trPr>
          <w:trHeight w:val="375"/>
        </w:trPr>
        <w:tc>
          <w:tcPr>
            <w:tcW w:w="699" w:type="dxa"/>
            <w:shd w:val="clear" w:color="auto" w:fill="F1F1F1"/>
          </w:tcPr>
          <w:p w14:paraId="62B33E27" w14:textId="77777777" w:rsidR="00CA0F30" w:rsidRPr="00FC4502" w:rsidRDefault="00CA0F30" w:rsidP="00F2273F">
            <w:pPr>
              <w:pStyle w:val="TableParagraph"/>
              <w:spacing w:before="88"/>
              <w:ind w:left="119" w:right="94"/>
              <w:jc w:val="center"/>
              <w:rPr>
                <w:b/>
                <w:sz w:val="20"/>
              </w:rPr>
            </w:pPr>
            <w:r w:rsidRPr="00FC4502">
              <w:rPr>
                <w:b/>
                <w:sz w:val="20"/>
              </w:rPr>
              <w:t>Nr.</w:t>
            </w:r>
          </w:p>
        </w:tc>
        <w:tc>
          <w:tcPr>
            <w:tcW w:w="2794" w:type="dxa"/>
            <w:shd w:val="clear" w:color="auto" w:fill="F1F1F1"/>
          </w:tcPr>
          <w:p w14:paraId="1164481F" w14:textId="77777777" w:rsidR="00CA0F30" w:rsidRPr="00FC4502" w:rsidRDefault="00CA0F30" w:rsidP="00F2273F">
            <w:pPr>
              <w:pStyle w:val="TableParagraph"/>
              <w:spacing w:before="79"/>
              <w:ind w:left="28"/>
              <w:jc w:val="center"/>
              <w:rPr>
                <w:b/>
                <w:sz w:val="20"/>
              </w:rPr>
            </w:pPr>
            <w:r w:rsidRPr="00FC4502">
              <w:rPr>
                <w:b/>
                <w:sz w:val="20"/>
              </w:rPr>
              <w:t>Emërtmi</w:t>
            </w:r>
            <w:r w:rsidRPr="00FC4502">
              <w:rPr>
                <w:b/>
                <w:spacing w:val="-10"/>
                <w:sz w:val="20"/>
              </w:rPr>
              <w:t xml:space="preserve"> </w:t>
            </w:r>
            <w:r w:rsidRPr="00FC4502">
              <w:rPr>
                <w:b/>
                <w:sz w:val="20"/>
              </w:rPr>
              <w:t>i</w:t>
            </w:r>
            <w:r w:rsidRPr="00FC4502">
              <w:rPr>
                <w:b/>
                <w:spacing w:val="-9"/>
                <w:sz w:val="20"/>
              </w:rPr>
              <w:t xml:space="preserve"> </w:t>
            </w:r>
            <w:r w:rsidRPr="00FC4502">
              <w:rPr>
                <w:b/>
                <w:sz w:val="20"/>
              </w:rPr>
              <w:t>Pozitës</w:t>
            </w:r>
          </w:p>
        </w:tc>
        <w:tc>
          <w:tcPr>
            <w:tcW w:w="699" w:type="dxa"/>
            <w:shd w:val="clear" w:color="auto" w:fill="F1F1F1"/>
          </w:tcPr>
          <w:p w14:paraId="4F2F7A98" w14:textId="77777777" w:rsidR="00CA0F30" w:rsidRPr="00FC4502" w:rsidRDefault="00CA0F30" w:rsidP="00F2273F">
            <w:pPr>
              <w:pStyle w:val="TableParagraph"/>
              <w:spacing w:before="88"/>
              <w:ind w:left="128"/>
              <w:rPr>
                <w:b/>
                <w:sz w:val="20"/>
              </w:rPr>
            </w:pPr>
            <w:r w:rsidRPr="00FC4502">
              <w:rPr>
                <w:b/>
                <w:sz w:val="20"/>
              </w:rPr>
              <w:t>Grupi</w:t>
            </w:r>
          </w:p>
        </w:tc>
        <w:tc>
          <w:tcPr>
            <w:tcW w:w="699" w:type="dxa"/>
            <w:shd w:val="clear" w:color="auto" w:fill="F1F1F1"/>
          </w:tcPr>
          <w:p w14:paraId="6B7EEEEF" w14:textId="77777777" w:rsidR="00CA0F30" w:rsidRPr="00FC4502" w:rsidRDefault="00CA0F30" w:rsidP="00F2273F">
            <w:pPr>
              <w:pStyle w:val="TableParagraph"/>
              <w:spacing w:before="88"/>
              <w:ind w:left="143"/>
              <w:rPr>
                <w:b/>
                <w:sz w:val="20"/>
              </w:rPr>
            </w:pPr>
            <w:r w:rsidRPr="00FC4502">
              <w:rPr>
                <w:b/>
                <w:sz w:val="20"/>
              </w:rPr>
              <w:t>Klasa</w:t>
            </w:r>
          </w:p>
        </w:tc>
        <w:tc>
          <w:tcPr>
            <w:tcW w:w="1398" w:type="dxa"/>
            <w:shd w:val="clear" w:color="auto" w:fill="F1F1F1"/>
          </w:tcPr>
          <w:p w14:paraId="7FA13F3B" w14:textId="77777777" w:rsidR="00CA0F30" w:rsidRPr="00FC4502" w:rsidRDefault="00CA0F30" w:rsidP="00F2273F">
            <w:pPr>
              <w:pStyle w:val="TableParagraph"/>
              <w:spacing w:before="79"/>
              <w:ind w:left="279" w:right="255"/>
              <w:jc w:val="center"/>
              <w:rPr>
                <w:b/>
                <w:sz w:val="20"/>
              </w:rPr>
            </w:pPr>
            <w:r w:rsidRPr="00FC4502">
              <w:rPr>
                <w:b/>
                <w:sz w:val="20"/>
              </w:rPr>
              <w:t>Koeficienti</w:t>
            </w:r>
          </w:p>
        </w:tc>
        <w:tc>
          <w:tcPr>
            <w:tcW w:w="2795" w:type="dxa"/>
            <w:shd w:val="clear" w:color="auto" w:fill="F1F1F1"/>
          </w:tcPr>
          <w:p w14:paraId="6803B6BD" w14:textId="77777777" w:rsidR="00CA0F30" w:rsidRPr="00FC4502" w:rsidRDefault="00CA0F30" w:rsidP="00F2273F">
            <w:pPr>
              <w:pStyle w:val="TableParagraph"/>
              <w:spacing w:before="79"/>
              <w:ind w:left="25"/>
              <w:jc w:val="center"/>
              <w:rPr>
                <w:b/>
                <w:sz w:val="20"/>
              </w:rPr>
            </w:pPr>
            <w:r w:rsidRPr="00FC4502">
              <w:rPr>
                <w:b/>
                <w:sz w:val="20"/>
              </w:rPr>
              <w:t>Fusha</w:t>
            </w:r>
            <w:r w:rsidRPr="00FC4502">
              <w:rPr>
                <w:b/>
                <w:spacing w:val="-9"/>
                <w:sz w:val="20"/>
              </w:rPr>
              <w:t xml:space="preserve"> </w:t>
            </w:r>
            <w:r w:rsidRPr="00FC4502">
              <w:rPr>
                <w:b/>
                <w:sz w:val="20"/>
              </w:rPr>
              <w:t>e</w:t>
            </w:r>
            <w:r w:rsidRPr="00FC4502">
              <w:rPr>
                <w:b/>
                <w:spacing w:val="-8"/>
                <w:sz w:val="20"/>
              </w:rPr>
              <w:t xml:space="preserve"> </w:t>
            </w:r>
            <w:r w:rsidRPr="00FC4502">
              <w:rPr>
                <w:b/>
                <w:sz w:val="20"/>
              </w:rPr>
              <w:t>Zbatimit</w:t>
            </w:r>
          </w:p>
        </w:tc>
      </w:tr>
      <w:tr w:rsidR="00CA0F30" w:rsidRPr="00FC4502" w14:paraId="44F62E9E" w14:textId="77777777" w:rsidTr="00F2273F">
        <w:trPr>
          <w:trHeight w:val="375"/>
        </w:trPr>
        <w:tc>
          <w:tcPr>
            <w:tcW w:w="699" w:type="dxa"/>
            <w:shd w:val="clear" w:color="auto" w:fill="ECECEC"/>
          </w:tcPr>
          <w:p w14:paraId="49DECB69" w14:textId="77777777" w:rsidR="00CA0F30" w:rsidRPr="00FC4502" w:rsidRDefault="00CA0F30" w:rsidP="00F2273F">
            <w:pPr>
              <w:pStyle w:val="TableParagraph"/>
              <w:spacing w:before="86"/>
              <w:ind w:left="29"/>
              <w:jc w:val="center"/>
              <w:rPr>
                <w:w w:val="99"/>
                <w:sz w:val="20"/>
              </w:rPr>
            </w:pPr>
            <w:r w:rsidRPr="00FC4502">
              <w:rPr>
                <w:w w:val="99"/>
                <w:sz w:val="20"/>
              </w:rPr>
              <w:t>1</w:t>
            </w:r>
          </w:p>
        </w:tc>
        <w:tc>
          <w:tcPr>
            <w:tcW w:w="2794" w:type="dxa"/>
          </w:tcPr>
          <w:p w14:paraId="032E5849" w14:textId="77777777" w:rsidR="00CA0F30" w:rsidRPr="00FC4502" w:rsidRDefault="00CA0F30" w:rsidP="00F2273F">
            <w:pPr>
              <w:pStyle w:val="TableParagraph"/>
              <w:jc w:val="center"/>
              <w:rPr>
                <w:sz w:val="20"/>
              </w:rPr>
            </w:pPr>
            <w:r w:rsidRPr="00FC4502">
              <w:rPr>
                <w:w w:val="105"/>
                <w:sz w:val="20"/>
                <w:szCs w:val="28"/>
              </w:rPr>
              <w:t>Drejtori</w:t>
            </w:r>
            <w:r w:rsidRPr="00FC4502">
              <w:rPr>
                <w:spacing w:val="-2"/>
                <w:w w:val="105"/>
                <w:sz w:val="20"/>
                <w:szCs w:val="28"/>
              </w:rPr>
              <w:t xml:space="preserve"> </w:t>
            </w:r>
            <w:r w:rsidRPr="00FC4502">
              <w:rPr>
                <w:w w:val="105"/>
                <w:sz w:val="20"/>
                <w:szCs w:val="28"/>
              </w:rPr>
              <w:t>i</w:t>
            </w:r>
            <w:r w:rsidRPr="00FC4502">
              <w:rPr>
                <w:spacing w:val="-2"/>
                <w:w w:val="105"/>
                <w:sz w:val="20"/>
                <w:szCs w:val="28"/>
              </w:rPr>
              <w:t xml:space="preserve"> </w:t>
            </w:r>
            <w:r w:rsidRPr="00FC4502">
              <w:rPr>
                <w:w w:val="105"/>
                <w:sz w:val="20"/>
                <w:szCs w:val="28"/>
              </w:rPr>
              <w:t>SHSKUK-së</w:t>
            </w:r>
          </w:p>
        </w:tc>
        <w:tc>
          <w:tcPr>
            <w:tcW w:w="699" w:type="dxa"/>
          </w:tcPr>
          <w:p w14:paraId="23FD9388" w14:textId="77777777" w:rsidR="00CA0F30" w:rsidRPr="00FC4502" w:rsidRDefault="00CA0F30" w:rsidP="00F2273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14:paraId="521185ED" w14:textId="77777777" w:rsidR="00CA0F30" w:rsidRPr="00FC4502" w:rsidRDefault="00CA0F30" w:rsidP="00F2273F">
            <w:pPr>
              <w:pStyle w:val="TableParagraph"/>
              <w:spacing w:before="4"/>
              <w:jc w:val="center"/>
              <w:rPr>
                <w:sz w:val="20"/>
              </w:rPr>
            </w:pPr>
            <w:r w:rsidRPr="00FC4502">
              <w:rPr>
                <w:sz w:val="20"/>
                <w:szCs w:val="14"/>
              </w:rPr>
              <w:t>Bartet nga G1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14:paraId="054BA473" w14:textId="77777777" w:rsidR="00CA0F30" w:rsidRPr="00FC4502" w:rsidRDefault="00CA0F30" w:rsidP="00F2273F">
            <w:pPr>
              <w:pStyle w:val="TableParagraph"/>
              <w:spacing w:before="76"/>
              <w:ind w:left="278" w:right="255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17</w:t>
            </w:r>
          </w:p>
        </w:tc>
        <w:tc>
          <w:tcPr>
            <w:tcW w:w="2795" w:type="dxa"/>
          </w:tcPr>
          <w:p w14:paraId="41F090F7" w14:textId="77777777" w:rsidR="00CA0F30" w:rsidRPr="00FC4502" w:rsidRDefault="00CA0F30" w:rsidP="00F2273F">
            <w:pPr>
              <w:pStyle w:val="TableParagraph"/>
              <w:spacing w:before="92"/>
              <w:ind w:left="22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Te jete 10% mbi pagën e drejtorit te institucionit tretesore/QKUK edhe pse pozite e cila eshte propozuar qe te largohet si institucion ne propozim ligj per shëndetësi.</w:t>
            </w:r>
          </w:p>
        </w:tc>
      </w:tr>
      <w:tr w:rsidR="00CA0F30" w:rsidRPr="00FC4502" w14:paraId="68635E10" w14:textId="77777777" w:rsidTr="00F2273F">
        <w:trPr>
          <w:trHeight w:val="375"/>
        </w:trPr>
        <w:tc>
          <w:tcPr>
            <w:tcW w:w="699" w:type="dxa"/>
            <w:shd w:val="clear" w:color="auto" w:fill="ECECEC"/>
          </w:tcPr>
          <w:p w14:paraId="336749E7" w14:textId="77777777" w:rsidR="00CA0F30" w:rsidRPr="00FC4502" w:rsidRDefault="00CA0F30" w:rsidP="00F2273F">
            <w:pPr>
              <w:pStyle w:val="TableParagraph"/>
              <w:spacing w:before="86"/>
              <w:ind w:left="29"/>
              <w:jc w:val="center"/>
              <w:rPr>
                <w:sz w:val="20"/>
              </w:rPr>
            </w:pPr>
            <w:r w:rsidRPr="00FC4502">
              <w:rPr>
                <w:w w:val="99"/>
                <w:sz w:val="20"/>
              </w:rPr>
              <w:t>1.1</w:t>
            </w:r>
          </w:p>
        </w:tc>
        <w:tc>
          <w:tcPr>
            <w:tcW w:w="2794" w:type="dxa"/>
            <w:vMerge w:val="restart"/>
          </w:tcPr>
          <w:p w14:paraId="1C8AE8FA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1818924B" w14:textId="77777777" w:rsidR="00CA0F30" w:rsidRPr="00FC4502" w:rsidRDefault="00CA0F30" w:rsidP="00F2273F">
            <w:pPr>
              <w:pStyle w:val="TableParagraph"/>
              <w:spacing w:before="10"/>
              <w:rPr>
                <w:sz w:val="20"/>
              </w:rPr>
            </w:pPr>
          </w:p>
          <w:p w14:paraId="01B10810" w14:textId="77777777" w:rsidR="00CA0F30" w:rsidRPr="00FC4502" w:rsidRDefault="00CA0F30" w:rsidP="00F2273F">
            <w:pPr>
              <w:pStyle w:val="TableParagraph"/>
              <w:spacing w:before="1"/>
              <w:ind w:left="630"/>
              <w:rPr>
                <w:sz w:val="20"/>
              </w:rPr>
            </w:pPr>
          </w:p>
          <w:p w14:paraId="7F8F05DB" w14:textId="7211578B" w:rsidR="00CA0F30" w:rsidRPr="00FC4502" w:rsidRDefault="00CA0F30" w:rsidP="00FE7E23">
            <w:pPr>
              <w:pStyle w:val="TableParagraph"/>
              <w:spacing w:before="1"/>
              <w:ind w:left="630"/>
              <w:jc w:val="center"/>
              <w:rPr>
                <w:spacing w:val="9"/>
                <w:sz w:val="20"/>
              </w:rPr>
            </w:pPr>
            <w:r w:rsidRPr="00FC4502">
              <w:rPr>
                <w:spacing w:val="-1"/>
                <w:w w:val="105"/>
                <w:sz w:val="20"/>
              </w:rPr>
              <w:t>Mjek</w:t>
            </w:r>
            <w:r w:rsidRPr="00FC4502">
              <w:rPr>
                <w:spacing w:val="-9"/>
                <w:w w:val="105"/>
                <w:sz w:val="20"/>
              </w:rPr>
              <w:t xml:space="preserve"> </w:t>
            </w:r>
            <w:r w:rsidRPr="00FC4502">
              <w:rPr>
                <w:spacing w:val="-1"/>
                <w:w w:val="105"/>
                <w:sz w:val="20"/>
              </w:rPr>
              <w:t>specialist,</w:t>
            </w:r>
          </w:p>
          <w:p w14:paraId="2CE09DAB" w14:textId="1E587625" w:rsidR="00CA0F30" w:rsidRDefault="00CA0F30" w:rsidP="00FE7E23">
            <w:pPr>
              <w:pStyle w:val="TableParagraph"/>
              <w:spacing w:before="1"/>
              <w:ind w:left="630"/>
              <w:jc w:val="center"/>
              <w:rPr>
                <w:spacing w:val="9"/>
                <w:sz w:val="20"/>
              </w:rPr>
            </w:pPr>
            <w:r w:rsidRPr="00FC4502">
              <w:rPr>
                <w:sz w:val="20"/>
              </w:rPr>
              <w:t>Stomatolog</w:t>
            </w:r>
            <w:r w:rsidRPr="00FC4502">
              <w:rPr>
                <w:spacing w:val="8"/>
                <w:sz w:val="20"/>
              </w:rPr>
              <w:t xml:space="preserve"> </w:t>
            </w:r>
            <w:r w:rsidRPr="00FC4502">
              <w:rPr>
                <w:sz w:val="20"/>
              </w:rPr>
              <w:t>Specialist,</w:t>
            </w:r>
          </w:p>
          <w:p w14:paraId="0A5EFA25" w14:textId="77777777" w:rsidR="00FE7E23" w:rsidRPr="00FC4502" w:rsidRDefault="00FE7E23" w:rsidP="00FE7E23">
            <w:pPr>
              <w:pStyle w:val="TableParagraph"/>
              <w:spacing w:before="1"/>
              <w:ind w:left="630"/>
              <w:jc w:val="center"/>
              <w:rPr>
                <w:sz w:val="20"/>
              </w:rPr>
            </w:pPr>
            <w:r w:rsidRPr="00FC4502">
              <w:rPr>
                <w:sz w:val="20"/>
              </w:rPr>
              <w:t xml:space="preserve">Farmacist </w:t>
            </w:r>
            <w:r w:rsidRPr="00FC4502">
              <w:rPr>
                <w:spacing w:val="-35"/>
                <w:sz w:val="20"/>
              </w:rPr>
              <w:t xml:space="preserve"> </w:t>
            </w:r>
            <w:r w:rsidRPr="00FC4502">
              <w:rPr>
                <w:w w:val="105"/>
                <w:sz w:val="20"/>
              </w:rPr>
              <w:t>specialist</w:t>
            </w:r>
          </w:p>
          <w:p w14:paraId="78E2A455" w14:textId="77777777" w:rsidR="00FE7E23" w:rsidRPr="00FC4502" w:rsidRDefault="00FE7E23" w:rsidP="00F2273F">
            <w:pPr>
              <w:pStyle w:val="TableParagraph"/>
              <w:spacing w:before="1"/>
              <w:ind w:left="630"/>
              <w:rPr>
                <w:spacing w:val="9"/>
                <w:sz w:val="20"/>
              </w:rPr>
            </w:pPr>
          </w:p>
          <w:p w14:paraId="400D844F" w14:textId="77777777" w:rsidR="00CA0F30" w:rsidRPr="00FC4502" w:rsidRDefault="00CA0F30" w:rsidP="00F2273F">
            <w:pPr>
              <w:pStyle w:val="TableParagraph"/>
              <w:spacing w:before="1"/>
              <w:ind w:left="630"/>
              <w:rPr>
                <w:sz w:val="20"/>
              </w:rPr>
            </w:pPr>
          </w:p>
          <w:p w14:paraId="6199A6B6" w14:textId="77777777" w:rsidR="00CA0F30" w:rsidRPr="00FC4502" w:rsidRDefault="00CA0F30" w:rsidP="00F2273F">
            <w:pPr>
              <w:pStyle w:val="TableParagraph"/>
              <w:spacing w:before="1"/>
              <w:ind w:left="630"/>
              <w:rPr>
                <w:sz w:val="20"/>
              </w:rPr>
            </w:pPr>
          </w:p>
          <w:p w14:paraId="5E9D700D" w14:textId="77777777" w:rsidR="00CA0F30" w:rsidRPr="00FC4502" w:rsidRDefault="00CA0F30" w:rsidP="00F2273F">
            <w:pPr>
              <w:pStyle w:val="TableParagraph"/>
              <w:spacing w:before="1"/>
              <w:ind w:left="630"/>
              <w:rPr>
                <w:sz w:val="20"/>
              </w:rPr>
            </w:pPr>
          </w:p>
        </w:tc>
        <w:tc>
          <w:tcPr>
            <w:tcW w:w="699" w:type="dxa"/>
            <w:vMerge w:val="restart"/>
          </w:tcPr>
          <w:p w14:paraId="58E09E0E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3C1C582D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266F8F11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20D0350D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6E8FFE33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2517D980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1EFFB76D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532CA5B7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72DE4481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53F6FFB3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45BC532A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64CF43A1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7E625B5D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1E5803DC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3198D92D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4FD06D69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0A023BBA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12B9F53D" w14:textId="77777777" w:rsidR="00CA0F30" w:rsidRPr="00FC4502" w:rsidRDefault="00CA0F30" w:rsidP="00F2273F">
            <w:pPr>
              <w:pStyle w:val="TableParagraph"/>
              <w:spacing w:before="6"/>
              <w:rPr>
                <w:sz w:val="20"/>
              </w:rPr>
            </w:pPr>
          </w:p>
          <w:p w14:paraId="0301CE26" w14:textId="77777777" w:rsidR="00CA0F30" w:rsidRPr="00FC4502" w:rsidRDefault="00CA0F30" w:rsidP="00F2273F">
            <w:pPr>
              <w:pStyle w:val="TableParagraph"/>
              <w:ind w:left="27"/>
              <w:jc w:val="center"/>
              <w:rPr>
                <w:b/>
                <w:sz w:val="20"/>
              </w:rPr>
            </w:pPr>
            <w:r w:rsidRPr="00FC4502">
              <w:rPr>
                <w:b/>
                <w:w w:val="99"/>
                <w:sz w:val="20"/>
              </w:rPr>
              <w:t>H</w:t>
            </w:r>
          </w:p>
        </w:tc>
        <w:tc>
          <w:tcPr>
            <w:tcW w:w="699" w:type="dxa"/>
            <w:vMerge w:val="restart"/>
          </w:tcPr>
          <w:p w14:paraId="774E48FD" w14:textId="77777777" w:rsidR="00CA0F30" w:rsidRPr="00FC4502" w:rsidRDefault="00CA0F30" w:rsidP="00F2273F">
            <w:pPr>
              <w:pStyle w:val="TableParagraph"/>
              <w:spacing w:before="4"/>
              <w:rPr>
                <w:sz w:val="20"/>
                <w:szCs w:val="17"/>
              </w:rPr>
            </w:pPr>
            <w:r w:rsidRPr="00FC4502">
              <w:rPr>
                <w:sz w:val="20"/>
              </w:rPr>
              <w:t xml:space="preserve">   </w:t>
            </w:r>
            <w:r w:rsidRPr="00FC4502">
              <w:rPr>
                <w:sz w:val="20"/>
                <w:szCs w:val="17"/>
              </w:rPr>
              <w:t>H1</w:t>
            </w:r>
          </w:p>
          <w:p w14:paraId="1153132B" w14:textId="77777777" w:rsidR="00CA0F30" w:rsidRPr="00FC4502" w:rsidRDefault="00CA0F30" w:rsidP="00F2273F">
            <w:pPr>
              <w:pStyle w:val="TableParagraph"/>
              <w:rPr>
                <w:sz w:val="20"/>
                <w:szCs w:val="17"/>
              </w:rPr>
            </w:pPr>
          </w:p>
          <w:p w14:paraId="3B130966" w14:textId="77777777" w:rsidR="00CA0F30" w:rsidRPr="00FC4502" w:rsidRDefault="00CA0F30" w:rsidP="00F2273F">
            <w:pPr>
              <w:pStyle w:val="TableParagraph"/>
              <w:rPr>
                <w:sz w:val="20"/>
                <w:szCs w:val="17"/>
              </w:rPr>
            </w:pPr>
            <w:r w:rsidRPr="00FC4502">
              <w:rPr>
                <w:sz w:val="20"/>
                <w:szCs w:val="17"/>
              </w:rPr>
              <w:t xml:space="preserve">    </w:t>
            </w:r>
          </w:p>
          <w:p w14:paraId="645C7168" w14:textId="77777777" w:rsidR="00CA0F30" w:rsidRPr="00FC4502" w:rsidRDefault="00CA0F30" w:rsidP="00F2273F">
            <w:pPr>
              <w:pStyle w:val="TableParagraph"/>
              <w:rPr>
                <w:sz w:val="20"/>
                <w:szCs w:val="17"/>
              </w:rPr>
            </w:pPr>
          </w:p>
          <w:p w14:paraId="49779D70" w14:textId="77777777" w:rsidR="00CA0F30" w:rsidRPr="00FC4502" w:rsidRDefault="00CA0F30" w:rsidP="00F2273F">
            <w:pPr>
              <w:pStyle w:val="TableParagraph"/>
              <w:rPr>
                <w:sz w:val="20"/>
                <w:szCs w:val="17"/>
              </w:rPr>
            </w:pPr>
          </w:p>
          <w:p w14:paraId="0CDFB8CB" w14:textId="77777777" w:rsidR="00CA0F30" w:rsidRPr="00FC4502" w:rsidRDefault="00CA0F30" w:rsidP="00F2273F">
            <w:pPr>
              <w:pStyle w:val="TableParagraph"/>
              <w:rPr>
                <w:sz w:val="20"/>
                <w:szCs w:val="17"/>
              </w:rPr>
            </w:pPr>
          </w:p>
          <w:p w14:paraId="7DC0F4D2" w14:textId="77777777" w:rsidR="00CA0F30" w:rsidRPr="00FC4502" w:rsidRDefault="00CA0F30" w:rsidP="00F2273F">
            <w:pPr>
              <w:pStyle w:val="TableParagraph"/>
              <w:rPr>
                <w:sz w:val="20"/>
                <w:szCs w:val="17"/>
              </w:rPr>
            </w:pPr>
          </w:p>
          <w:p w14:paraId="6E7D1B84" w14:textId="77777777" w:rsidR="00CA0F30" w:rsidRPr="00FC4502" w:rsidRDefault="00CA0F30" w:rsidP="00F2273F">
            <w:pPr>
              <w:pStyle w:val="TableParagraph"/>
              <w:rPr>
                <w:sz w:val="20"/>
                <w:szCs w:val="17"/>
              </w:rPr>
            </w:pPr>
          </w:p>
          <w:p w14:paraId="50958147" w14:textId="77777777" w:rsidR="00CA0F30" w:rsidRPr="00FC4502" w:rsidRDefault="00CA0F30" w:rsidP="00F2273F">
            <w:pPr>
              <w:pStyle w:val="TableParagraph"/>
              <w:rPr>
                <w:sz w:val="20"/>
                <w:szCs w:val="17"/>
              </w:rPr>
            </w:pPr>
            <w:r w:rsidRPr="00FC4502">
              <w:rPr>
                <w:sz w:val="20"/>
                <w:szCs w:val="17"/>
              </w:rPr>
              <w:t xml:space="preserve">      H2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14:paraId="128D510B" w14:textId="77777777" w:rsidR="00CA0F30" w:rsidRPr="00FC4502" w:rsidRDefault="00CA0F30" w:rsidP="00F2273F">
            <w:pPr>
              <w:pStyle w:val="TableParagraph"/>
              <w:spacing w:before="76"/>
              <w:ind w:left="278" w:right="255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15.5</w:t>
            </w:r>
          </w:p>
        </w:tc>
        <w:tc>
          <w:tcPr>
            <w:tcW w:w="2795" w:type="dxa"/>
          </w:tcPr>
          <w:p w14:paraId="526ADB14" w14:textId="58D10EA8" w:rsidR="00CA0F30" w:rsidRPr="00FC4502" w:rsidRDefault="00B736CD" w:rsidP="00F2273F">
            <w:pPr>
              <w:pStyle w:val="TableParagraph"/>
              <w:spacing w:before="92"/>
              <w:ind w:left="22"/>
              <w:jc w:val="center"/>
              <w:rPr>
                <w:sz w:val="20"/>
                <w:szCs w:val="20"/>
              </w:rPr>
            </w:pPr>
            <w:r w:rsidRPr="00FC4502">
              <w:rPr>
                <w:color w:val="666666"/>
                <w:sz w:val="20"/>
                <w:szCs w:val="20"/>
                <w:shd w:val="clear" w:color="auto" w:fill="FFFFFF"/>
              </w:rPr>
              <w:t>Shëndetësia e nivelit tretësor Mjeku Specialist i cili ushtron detyrën si personel akademik në arsimin universitar, kur këtë e lejon ligji përfiton një shtesë në vlerë prej tridhjetë përqind (30%) të pagës bazë për pozitën me orar të plotë të punës në arsimin universitar, sipas nenit 33 pika 1 e propozuar  të Ligjit,( pozita drejtuese perfitojn % nga 10-30 %)</w:t>
            </w:r>
          </w:p>
        </w:tc>
      </w:tr>
      <w:tr w:rsidR="00CA0F30" w:rsidRPr="00FC4502" w14:paraId="2D8388ED" w14:textId="77777777" w:rsidTr="00F2273F">
        <w:trPr>
          <w:trHeight w:val="375"/>
        </w:trPr>
        <w:tc>
          <w:tcPr>
            <w:tcW w:w="699" w:type="dxa"/>
            <w:shd w:val="clear" w:color="auto" w:fill="ECECEC"/>
          </w:tcPr>
          <w:p w14:paraId="471C76CF" w14:textId="77777777" w:rsidR="00CA0F30" w:rsidRPr="00FC4502" w:rsidRDefault="00CA0F30" w:rsidP="00F2273F">
            <w:pPr>
              <w:pStyle w:val="TableParagraph"/>
              <w:spacing w:before="86"/>
              <w:ind w:left="29"/>
              <w:jc w:val="center"/>
              <w:rPr>
                <w:sz w:val="20"/>
              </w:rPr>
            </w:pPr>
            <w:r w:rsidRPr="00FC4502">
              <w:rPr>
                <w:w w:val="99"/>
                <w:sz w:val="20"/>
              </w:rPr>
              <w:t>2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14:paraId="2A06CBBA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14:paraId="61C260F4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14:paraId="790E6E4B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</w:tcPr>
          <w:p w14:paraId="39AA248A" w14:textId="77777777" w:rsidR="00CA0F30" w:rsidRPr="00FC4502" w:rsidRDefault="00CA0F30" w:rsidP="00F2273F">
            <w:pPr>
              <w:pStyle w:val="TableParagraph"/>
              <w:spacing w:before="76"/>
              <w:ind w:left="278" w:right="255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13.4</w:t>
            </w:r>
          </w:p>
        </w:tc>
        <w:tc>
          <w:tcPr>
            <w:tcW w:w="2795" w:type="dxa"/>
          </w:tcPr>
          <w:p w14:paraId="4F488E2F" w14:textId="5128521A" w:rsidR="00CA0F30" w:rsidRPr="00FC4502" w:rsidRDefault="00B736CD" w:rsidP="00F2273F">
            <w:pPr>
              <w:pStyle w:val="TableParagraph"/>
              <w:spacing w:before="92"/>
              <w:ind w:left="22"/>
              <w:jc w:val="center"/>
              <w:rPr>
                <w:sz w:val="20"/>
                <w:szCs w:val="20"/>
              </w:rPr>
            </w:pPr>
            <w:r w:rsidRPr="00FC4502">
              <w:rPr>
                <w:color w:val="666666"/>
                <w:sz w:val="20"/>
                <w:szCs w:val="20"/>
                <w:shd w:val="clear" w:color="auto" w:fill="FFFFFF"/>
              </w:rPr>
              <w:t xml:space="preserve">Shëndetësia e nivelit dytësor Mjeku Specialist i cili ushtron detyrën si personel akademik në arsimin universitar, kur këtë e lejon ligji përfiton një shtesë në vlerë prej tridhjetë përqind (30%) të pagës bazë për pozitën me orar të plotë të punës në arsimin universitar, sipas nenit 33 pika 1 e </w:t>
            </w:r>
            <w:r w:rsidRPr="00FC4502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propozuar  të Ligjit,( pozita drejtuese perfitojn % nga 10-30 %)</w:t>
            </w:r>
          </w:p>
        </w:tc>
      </w:tr>
      <w:tr w:rsidR="00CA0F30" w:rsidRPr="00FC4502" w14:paraId="61473526" w14:textId="77777777" w:rsidTr="00F2273F">
        <w:trPr>
          <w:trHeight w:val="1424"/>
        </w:trPr>
        <w:tc>
          <w:tcPr>
            <w:tcW w:w="699" w:type="dxa"/>
            <w:shd w:val="clear" w:color="auto" w:fill="ECECEC"/>
          </w:tcPr>
          <w:p w14:paraId="2A28BC7F" w14:textId="77777777" w:rsidR="00CA0F30" w:rsidRPr="00FC4502" w:rsidRDefault="00CA0F30" w:rsidP="00F2273F">
            <w:pPr>
              <w:pStyle w:val="TableParagraph"/>
              <w:spacing w:before="86"/>
              <w:ind w:left="29"/>
              <w:jc w:val="center"/>
              <w:rPr>
                <w:sz w:val="20"/>
              </w:rPr>
            </w:pPr>
            <w:r w:rsidRPr="00FC4502"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2794" w:type="dxa"/>
            <w:vMerge/>
            <w:tcBorders>
              <w:top w:val="nil"/>
            </w:tcBorders>
          </w:tcPr>
          <w:p w14:paraId="77D42A27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14:paraId="21620817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699" w:type="dxa"/>
          </w:tcPr>
          <w:p w14:paraId="48DD1FD0" w14:textId="77777777" w:rsidR="00CA0F30" w:rsidRPr="00FC4502" w:rsidRDefault="00CA0F30" w:rsidP="00F2273F">
            <w:pPr>
              <w:pStyle w:val="TableParagraph"/>
              <w:spacing w:before="86"/>
              <w:ind w:left="243"/>
              <w:rPr>
                <w:sz w:val="20"/>
              </w:rPr>
            </w:pPr>
            <w:r w:rsidRPr="00FC4502">
              <w:rPr>
                <w:sz w:val="20"/>
              </w:rPr>
              <w:t>H3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14:paraId="661A5703" w14:textId="77777777" w:rsidR="00CA0F30" w:rsidRPr="00FC4502" w:rsidRDefault="00CA0F30" w:rsidP="00F2273F">
            <w:pPr>
              <w:pStyle w:val="TableParagraph"/>
              <w:spacing w:before="6"/>
              <w:rPr>
                <w:sz w:val="20"/>
              </w:rPr>
            </w:pPr>
          </w:p>
          <w:p w14:paraId="1B88EFE0" w14:textId="77777777" w:rsidR="00CA0F30" w:rsidRPr="00FC4502" w:rsidRDefault="00CA0F30" w:rsidP="00F2273F">
            <w:pPr>
              <w:pStyle w:val="TableParagraph"/>
              <w:spacing w:before="1" w:line="188" w:lineRule="exact"/>
              <w:ind w:left="279" w:right="253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12.6</w:t>
            </w:r>
          </w:p>
        </w:tc>
        <w:tc>
          <w:tcPr>
            <w:tcW w:w="2795" w:type="dxa"/>
          </w:tcPr>
          <w:p w14:paraId="6F67196C" w14:textId="07C4DBF4" w:rsidR="00CA0F30" w:rsidRPr="00FC4502" w:rsidRDefault="00B736CD" w:rsidP="00F2273F">
            <w:pPr>
              <w:pStyle w:val="TableParagraph"/>
              <w:spacing w:before="92"/>
              <w:ind w:left="24"/>
              <w:jc w:val="center"/>
              <w:rPr>
                <w:sz w:val="20"/>
                <w:szCs w:val="20"/>
              </w:rPr>
            </w:pPr>
            <w:r w:rsidRPr="00FC4502">
              <w:rPr>
                <w:color w:val="666666"/>
                <w:sz w:val="20"/>
                <w:szCs w:val="20"/>
                <w:shd w:val="clear" w:color="auto" w:fill="FFFFFF"/>
              </w:rPr>
              <w:t>Shëndetësia e nivelit parësor Mjeku Specialist i cili ushtron detyrën si personel akademik në arsimin universitar, kur këtë e lejon ligji përfiton një shtesë në vlerë prej tridhjetë përqind (30%) të pagës bazë për pozitën me orar të plotë të punës në arsimin universitar, sipas nenit 33 pika 1 e propozuar  të Ligjit,( pozita drejtuese perfitojn % nga 10-30 %)</w:t>
            </w:r>
          </w:p>
        </w:tc>
      </w:tr>
      <w:tr w:rsidR="00CA0F30" w:rsidRPr="00FC4502" w14:paraId="392CEF10" w14:textId="77777777" w:rsidTr="00F2273F">
        <w:trPr>
          <w:trHeight w:val="106"/>
        </w:trPr>
        <w:tc>
          <w:tcPr>
            <w:tcW w:w="3493" w:type="dxa"/>
            <w:gridSpan w:val="2"/>
            <w:shd w:val="clear" w:color="auto" w:fill="ECECEC"/>
          </w:tcPr>
          <w:p w14:paraId="03CEE8D2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14:paraId="33C676FD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4892" w:type="dxa"/>
            <w:gridSpan w:val="3"/>
          </w:tcPr>
          <w:p w14:paraId="5FCF9250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</w:tc>
      </w:tr>
      <w:tr w:rsidR="00CA0F30" w:rsidRPr="00FC4502" w14:paraId="00C9C16F" w14:textId="77777777" w:rsidTr="00F2273F">
        <w:trPr>
          <w:trHeight w:val="1206"/>
        </w:trPr>
        <w:tc>
          <w:tcPr>
            <w:tcW w:w="699" w:type="dxa"/>
            <w:shd w:val="clear" w:color="auto" w:fill="ECECEC"/>
          </w:tcPr>
          <w:p w14:paraId="0BDC1727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1570DA95" w14:textId="77777777" w:rsidR="00CA0F30" w:rsidRPr="00FC4502" w:rsidRDefault="00CA0F30" w:rsidP="00F2273F">
            <w:pPr>
              <w:pStyle w:val="TableParagraph"/>
              <w:spacing w:before="7"/>
              <w:rPr>
                <w:sz w:val="20"/>
              </w:rPr>
            </w:pPr>
          </w:p>
          <w:p w14:paraId="257E4E70" w14:textId="77777777" w:rsidR="00CA0F30" w:rsidRPr="00FC4502" w:rsidRDefault="00CA0F30" w:rsidP="00F2273F">
            <w:pPr>
              <w:pStyle w:val="TableParagraph"/>
              <w:ind w:left="29"/>
              <w:jc w:val="center"/>
              <w:rPr>
                <w:sz w:val="20"/>
              </w:rPr>
            </w:pPr>
            <w:r w:rsidRPr="00FC4502">
              <w:rPr>
                <w:w w:val="99"/>
                <w:sz w:val="20"/>
              </w:rPr>
              <w:t>4</w:t>
            </w:r>
          </w:p>
        </w:tc>
        <w:tc>
          <w:tcPr>
            <w:tcW w:w="2794" w:type="dxa"/>
          </w:tcPr>
          <w:p w14:paraId="7993DD06" w14:textId="77777777" w:rsidR="00CA0F30" w:rsidRPr="00FC4502" w:rsidRDefault="00CA0F30" w:rsidP="00F2273F">
            <w:pPr>
              <w:pStyle w:val="TableParagraph"/>
              <w:spacing w:before="6"/>
              <w:rPr>
                <w:sz w:val="20"/>
              </w:rPr>
            </w:pPr>
          </w:p>
          <w:p w14:paraId="3893342E" w14:textId="77777777" w:rsidR="00CA0F30" w:rsidRPr="00FC4502" w:rsidRDefault="00CA0F30" w:rsidP="00F2273F">
            <w:pPr>
              <w:pStyle w:val="TableParagraph"/>
              <w:spacing w:before="1"/>
              <w:ind w:left="630"/>
              <w:rPr>
                <w:spacing w:val="9"/>
                <w:sz w:val="20"/>
              </w:rPr>
            </w:pPr>
            <w:r w:rsidRPr="00FC4502">
              <w:rPr>
                <w:spacing w:val="-1"/>
                <w:w w:val="105"/>
                <w:sz w:val="20"/>
              </w:rPr>
              <w:t>Mjek</w:t>
            </w:r>
            <w:r w:rsidRPr="00FC4502">
              <w:rPr>
                <w:spacing w:val="-9"/>
                <w:w w:val="105"/>
                <w:sz w:val="20"/>
              </w:rPr>
              <w:t xml:space="preserve"> </w:t>
            </w:r>
            <w:r w:rsidRPr="00FC4502">
              <w:rPr>
                <w:spacing w:val="-1"/>
                <w:w w:val="105"/>
                <w:sz w:val="20"/>
              </w:rPr>
              <w:t>specialist,</w:t>
            </w:r>
            <w:r w:rsidRPr="00FC4502">
              <w:rPr>
                <w:spacing w:val="9"/>
                <w:sz w:val="20"/>
              </w:rPr>
              <w:t xml:space="preserve"> </w:t>
            </w:r>
          </w:p>
          <w:p w14:paraId="02458C13" w14:textId="77777777" w:rsidR="00CA0F30" w:rsidRPr="00FC4502" w:rsidRDefault="00CA0F30" w:rsidP="00F2273F">
            <w:pPr>
              <w:pStyle w:val="TableParagraph"/>
              <w:spacing w:before="1"/>
              <w:ind w:left="630"/>
              <w:rPr>
                <w:spacing w:val="9"/>
                <w:sz w:val="20"/>
              </w:rPr>
            </w:pPr>
            <w:r w:rsidRPr="00FC4502">
              <w:rPr>
                <w:sz w:val="20"/>
              </w:rPr>
              <w:t>Stomatolog</w:t>
            </w:r>
            <w:r w:rsidRPr="00FC4502">
              <w:rPr>
                <w:spacing w:val="8"/>
                <w:sz w:val="20"/>
              </w:rPr>
              <w:t xml:space="preserve"> </w:t>
            </w:r>
            <w:r w:rsidRPr="00FC4502">
              <w:rPr>
                <w:sz w:val="20"/>
              </w:rPr>
              <w:t>Specialist,</w:t>
            </w:r>
            <w:r w:rsidRPr="00FC4502">
              <w:rPr>
                <w:spacing w:val="9"/>
                <w:sz w:val="20"/>
              </w:rPr>
              <w:t xml:space="preserve"> </w:t>
            </w:r>
          </w:p>
          <w:p w14:paraId="2748DD2B" w14:textId="77777777" w:rsidR="00FE7E23" w:rsidRPr="00FC4502" w:rsidRDefault="00FE7E23" w:rsidP="00FE7E23">
            <w:pPr>
              <w:pStyle w:val="TableParagraph"/>
              <w:spacing w:before="1"/>
              <w:ind w:left="630"/>
              <w:rPr>
                <w:sz w:val="20"/>
              </w:rPr>
            </w:pPr>
            <w:r w:rsidRPr="00FC4502">
              <w:rPr>
                <w:sz w:val="20"/>
              </w:rPr>
              <w:t xml:space="preserve">Farmacist </w:t>
            </w:r>
            <w:r w:rsidRPr="00FC4502">
              <w:rPr>
                <w:spacing w:val="-35"/>
                <w:sz w:val="20"/>
              </w:rPr>
              <w:t xml:space="preserve"> </w:t>
            </w:r>
            <w:r w:rsidRPr="00FC4502">
              <w:rPr>
                <w:w w:val="105"/>
                <w:sz w:val="20"/>
              </w:rPr>
              <w:t>specialist</w:t>
            </w:r>
          </w:p>
          <w:p w14:paraId="411B73B1" w14:textId="77777777" w:rsidR="00CA0F30" w:rsidRPr="00FC4502" w:rsidRDefault="00CA0F30" w:rsidP="00F2273F">
            <w:pPr>
              <w:pStyle w:val="TableParagraph"/>
              <w:spacing w:before="1"/>
              <w:ind w:left="630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14:paraId="55322F62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699" w:type="dxa"/>
          </w:tcPr>
          <w:p w14:paraId="0150AA88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0EAAD46A" w14:textId="77777777" w:rsidR="00CA0F30" w:rsidRPr="00FC4502" w:rsidRDefault="00CA0F30" w:rsidP="00F2273F">
            <w:pPr>
              <w:pStyle w:val="TableParagraph"/>
              <w:spacing w:before="7"/>
              <w:rPr>
                <w:sz w:val="20"/>
              </w:rPr>
            </w:pPr>
          </w:p>
          <w:p w14:paraId="4AA3920B" w14:textId="77777777" w:rsidR="00CA0F30" w:rsidRPr="00FC4502" w:rsidRDefault="00CA0F30" w:rsidP="00F2273F">
            <w:pPr>
              <w:pStyle w:val="TableParagraph"/>
              <w:ind w:left="243"/>
              <w:rPr>
                <w:sz w:val="20"/>
              </w:rPr>
            </w:pPr>
            <w:r w:rsidRPr="00FC4502">
              <w:rPr>
                <w:sz w:val="20"/>
              </w:rPr>
              <w:t>H4</w:t>
            </w:r>
          </w:p>
        </w:tc>
        <w:tc>
          <w:tcPr>
            <w:tcW w:w="1398" w:type="dxa"/>
          </w:tcPr>
          <w:p w14:paraId="0026836F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  <w:p w14:paraId="608CE36F" w14:textId="77777777" w:rsidR="00CA0F30" w:rsidRPr="00FC4502" w:rsidRDefault="00CA0F30" w:rsidP="00F2273F">
            <w:pPr>
              <w:pStyle w:val="TableParagraph"/>
              <w:spacing w:before="9"/>
              <w:rPr>
                <w:sz w:val="20"/>
              </w:rPr>
            </w:pPr>
          </w:p>
          <w:p w14:paraId="17FDF651" w14:textId="77777777" w:rsidR="00CA0F30" w:rsidRPr="00FC4502" w:rsidRDefault="00CA0F30" w:rsidP="00F2273F">
            <w:pPr>
              <w:pStyle w:val="TableParagraph"/>
              <w:ind w:left="279" w:right="253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12</w:t>
            </w:r>
          </w:p>
        </w:tc>
        <w:tc>
          <w:tcPr>
            <w:tcW w:w="2795" w:type="dxa"/>
          </w:tcPr>
          <w:p w14:paraId="04DF2CE3" w14:textId="77777777" w:rsidR="00CA0F30" w:rsidRPr="00FC4502" w:rsidRDefault="00CA0F30" w:rsidP="00F2273F">
            <w:pPr>
              <w:pStyle w:val="TableParagraph"/>
              <w:spacing w:before="64" w:line="264" w:lineRule="auto"/>
              <w:ind w:left="23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Mjeku</w:t>
            </w:r>
            <w:r w:rsidRPr="00FC4502">
              <w:rPr>
                <w:spacing w:val="-8"/>
                <w:sz w:val="20"/>
              </w:rPr>
              <w:t xml:space="preserve"> </w:t>
            </w:r>
            <w:r w:rsidRPr="00FC4502">
              <w:rPr>
                <w:sz w:val="20"/>
              </w:rPr>
              <w:t>Specialist</w:t>
            </w:r>
            <w:r w:rsidRPr="00FC4502">
              <w:rPr>
                <w:spacing w:val="-5"/>
                <w:sz w:val="20"/>
              </w:rPr>
              <w:t xml:space="preserve"> </w:t>
            </w:r>
            <w:r w:rsidRPr="00FC4502">
              <w:rPr>
                <w:sz w:val="20"/>
              </w:rPr>
              <w:t>i</w:t>
            </w:r>
            <w:r w:rsidRPr="00FC4502">
              <w:rPr>
                <w:spacing w:val="-8"/>
                <w:sz w:val="20"/>
              </w:rPr>
              <w:t xml:space="preserve"> </w:t>
            </w:r>
            <w:r w:rsidRPr="00FC4502">
              <w:rPr>
                <w:sz w:val="20"/>
              </w:rPr>
              <w:t>cili</w:t>
            </w:r>
            <w:r w:rsidRPr="00FC4502">
              <w:rPr>
                <w:spacing w:val="-7"/>
                <w:sz w:val="20"/>
              </w:rPr>
              <w:t xml:space="preserve"> </w:t>
            </w:r>
            <w:r w:rsidRPr="00FC4502">
              <w:rPr>
                <w:sz w:val="20"/>
              </w:rPr>
              <w:t>ushtron</w:t>
            </w:r>
            <w:r w:rsidRPr="00FC4502">
              <w:rPr>
                <w:spacing w:val="-8"/>
                <w:sz w:val="20"/>
              </w:rPr>
              <w:t xml:space="preserve"> </w:t>
            </w:r>
            <w:r w:rsidRPr="00FC4502">
              <w:rPr>
                <w:sz w:val="20"/>
              </w:rPr>
              <w:t>detyrën ne nivele te ndryshme te administratës publike.</w:t>
            </w:r>
          </w:p>
        </w:tc>
      </w:tr>
      <w:tr w:rsidR="00CA0F30" w:rsidRPr="00FC4502" w14:paraId="72A2AD11" w14:textId="77777777" w:rsidTr="00F2273F">
        <w:trPr>
          <w:trHeight w:val="375"/>
        </w:trPr>
        <w:tc>
          <w:tcPr>
            <w:tcW w:w="699" w:type="dxa"/>
            <w:shd w:val="clear" w:color="auto" w:fill="ECECEC"/>
          </w:tcPr>
          <w:p w14:paraId="44352F19" w14:textId="77777777" w:rsidR="00CA0F30" w:rsidRPr="00FC4502" w:rsidRDefault="00CA0F30" w:rsidP="00F2273F">
            <w:pPr>
              <w:pStyle w:val="TableParagraph"/>
              <w:spacing w:before="86"/>
              <w:ind w:left="29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6</w:t>
            </w:r>
          </w:p>
        </w:tc>
        <w:tc>
          <w:tcPr>
            <w:tcW w:w="2794" w:type="dxa"/>
          </w:tcPr>
          <w:p w14:paraId="475C99DD" w14:textId="31E1E6FC" w:rsidR="00CA0F30" w:rsidRPr="00FC4502" w:rsidRDefault="00CA0F30" w:rsidP="00F2273F">
            <w:pPr>
              <w:pStyle w:val="TableParagraph"/>
              <w:spacing w:line="167" w:lineRule="exact"/>
              <w:ind w:left="27"/>
              <w:jc w:val="center"/>
              <w:rPr>
                <w:sz w:val="20"/>
              </w:rPr>
            </w:pPr>
            <w:r w:rsidRPr="00FC4502">
              <w:rPr>
                <w:spacing w:val="-1"/>
                <w:w w:val="105"/>
                <w:sz w:val="20"/>
              </w:rPr>
              <w:t>Mjek</w:t>
            </w:r>
            <w:r w:rsidR="00FE7E23">
              <w:rPr>
                <w:spacing w:val="-1"/>
                <w:w w:val="105"/>
                <w:sz w:val="20"/>
              </w:rPr>
              <w:t>,</w:t>
            </w:r>
            <w:r w:rsidR="00FE7E23" w:rsidRPr="00FC4502">
              <w:rPr>
                <w:sz w:val="20"/>
              </w:rPr>
              <w:t xml:space="preserve"> Stomatolog</w:t>
            </w:r>
            <w:r w:rsidR="00FE7E23">
              <w:rPr>
                <w:sz w:val="20"/>
              </w:rPr>
              <w:t xml:space="preserve"> dhe </w:t>
            </w:r>
            <w:r w:rsidR="00FE7E23" w:rsidRPr="00FC4502">
              <w:rPr>
                <w:sz w:val="20"/>
              </w:rPr>
              <w:t>Farmacist</w:t>
            </w:r>
            <w:r w:rsidRPr="00FC4502">
              <w:rPr>
                <w:spacing w:val="-7"/>
                <w:w w:val="105"/>
                <w:sz w:val="20"/>
              </w:rPr>
              <w:t xml:space="preserve"> </w:t>
            </w:r>
            <w:r w:rsidRPr="00FC4502">
              <w:rPr>
                <w:spacing w:val="-1"/>
                <w:w w:val="105"/>
                <w:sz w:val="20"/>
              </w:rPr>
              <w:t>në</w:t>
            </w:r>
            <w:r w:rsidRPr="00FC4502">
              <w:rPr>
                <w:spacing w:val="-8"/>
                <w:w w:val="105"/>
                <w:sz w:val="20"/>
              </w:rPr>
              <w:t xml:space="preserve"> </w:t>
            </w:r>
            <w:r w:rsidRPr="00FC4502">
              <w:rPr>
                <w:spacing w:val="-1"/>
                <w:w w:val="105"/>
                <w:sz w:val="20"/>
              </w:rPr>
              <w:t>Specializim</w:t>
            </w:r>
            <w:r w:rsidRPr="00FC4502">
              <w:rPr>
                <w:spacing w:val="-9"/>
                <w:w w:val="105"/>
                <w:sz w:val="20"/>
              </w:rPr>
              <w:t xml:space="preserve"> </w:t>
            </w:r>
          </w:p>
          <w:p w14:paraId="46878D93" w14:textId="77777777" w:rsidR="00CA0F30" w:rsidRPr="00FC4502" w:rsidRDefault="00CA0F30" w:rsidP="00F2273F">
            <w:pPr>
              <w:pStyle w:val="TableParagraph"/>
              <w:spacing w:before="22" w:line="167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14:paraId="594F1585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699" w:type="dxa"/>
          </w:tcPr>
          <w:p w14:paraId="49F97658" w14:textId="51A786CF" w:rsidR="00CA0F30" w:rsidRPr="00FC4502" w:rsidRDefault="00CA0F30" w:rsidP="00F2273F">
            <w:pPr>
              <w:pStyle w:val="TableParagraph"/>
              <w:spacing w:before="86"/>
              <w:ind w:left="243"/>
              <w:rPr>
                <w:sz w:val="20"/>
              </w:rPr>
            </w:pPr>
            <w:r w:rsidRPr="00FC4502">
              <w:rPr>
                <w:sz w:val="20"/>
              </w:rPr>
              <w:t>H</w:t>
            </w:r>
            <w:r w:rsidR="00FE7E23">
              <w:rPr>
                <w:sz w:val="20"/>
              </w:rPr>
              <w:t>5</w:t>
            </w:r>
          </w:p>
        </w:tc>
        <w:tc>
          <w:tcPr>
            <w:tcW w:w="1398" w:type="dxa"/>
          </w:tcPr>
          <w:p w14:paraId="023DDE72" w14:textId="77777777" w:rsidR="00CA0F30" w:rsidRPr="00FC4502" w:rsidRDefault="00CA0F30" w:rsidP="00F2273F">
            <w:pPr>
              <w:pStyle w:val="TableParagraph"/>
              <w:spacing w:before="76"/>
              <w:ind w:left="23"/>
              <w:jc w:val="center"/>
              <w:rPr>
                <w:sz w:val="20"/>
              </w:rPr>
            </w:pPr>
            <w:r w:rsidRPr="00FC4502">
              <w:rPr>
                <w:w w:val="99"/>
                <w:sz w:val="20"/>
              </w:rPr>
              <w:t>11</w:t>
            </w:r>
          </w:p>
        </w:tc>
        <w:tc>
          <w:tcPr>
            <w:tcW w:w="2795" w:type="dxa"/>
          </w:tcPr>
          <w:p w14:paraId="1A8B720A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</w:tc>
      </w:tr>
      <w:tr w:rsidR="00CA0F30" w:rsidRPr="00FC4502" w14:paraId="0A1DF46A" w14:textId="77777777" w:rsidTr="00F2273F">
        <w:trPr>
          <w:trHeight w:val="375"/>
        </w:trPr>
        <w:tc>
          <w:tcPr>
            <w:tcW w:w="699" w:type="dxa"/>
            <w:shd w:val="clear" w:color="auto" w:fill="ECECEC"/>
          </w:tcPr>
          <w:p w14:paraId="65D6684C" w14:textId="77777777" w:rsidR="00CA0F30" w:rsidRPr="00FC4502" w:rsidRDefault="00CA0F30" w:rsidP="00F2273F">
            <w:pPr>
              <w:pStyle w:val="TableParagraph"/>
              <w:spacing w:before="86"/>
              <w:ind w:left="29"/>
              <w:jc w:val="center"/>
              <w:rPr>
                <w:sz w:val="20"/>
              </w:rPr>
            </w:pPr>
            <w:r w:rsidRPr="00FC4502">
              <w:rPr>
                <w:w w:val="99"/>
                <w:sz w:val="20"/>
              </w:rPr>
              <w:t>7</w:t>
            </w:r>
          </w:p>
        </w:tc>
        <w:tc>
          <w:tcPr>
            <w:tcW w:w="2794" w:type="dxa"/>
          </w:tcPr>
          <w:p w14:paraId="6D6C2704" w14:textId="77777777" w:rsidR="00CA0F30" w:rsidRPr="00FC4502" w:rsidRDefault="00CA0F30" w:rsidP="00F2273F">
            <w:pPr>
              <w:pStyle w:val="TableParagraph"/>
              <w:spacing w:line="167" w:lineRule="exact"/>
              <w:ind w:left="25" w:right="-15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Mjek</w:t>
            </w:r>
            <w:r w:rsidRPr="00FC4502">
              <w:rPr>
                <w:spacing w:val="9"/>
                <w:sz w:val="20"/>
              </w:rPr>
              <w:t xml:space="preserve"> </w:t>
            </w:r>
            <w:r w:rsidRPr="00FC4502">
              <w:rPr>
                <w:sz w:val="20"/>
              </w:rPr>
              <w:t>i</w:t>
            </w:r>
            <w:r w:rsidRPr="00FC4502">
              <w:rPr>
                <w:spacing w:val="9"/>
                <w:sz w:val="20"/>
              </w:rPr>
              <w:t xml:space="preserve"> </w:t>
            </w:r>
            <w:r w:rsidRPr="00FC4502">
              <w:rPr>
                <w:sz w:val="20"/>
              </w:rPr>
              <w:t>përgjithshëm,</w:t>
            </w:r>
            <w:r w:rsidRPr="00FC4502">
              <w:rPr>
                <w:spacing w:val="10"/>
                <w:sz w:val="20"/>
              </w:rPr>
              <w:t xml:space="preserve"> </w:t>
            </w:r>
            <w:r w:rsidRPr="00FC4502">
              <w:rPr>
                <w:sz w:val="20"/>
              </w:rPr>
              <w:t>Stomatolog,</w:t>
            </w:r>
            <w:r w:rsidRPr="00FC4502">
              <w:rPr>
                <w:spacing w:val="9"/>
                <w:sz w:val="20"/>
              </w:rPr>
              <w:t xml:space="preserve"> </w:t>
            </w:r>
          </w:p>
          <w:p w14:paraId="6921A482" w14:textId="0BA1C8F8" w:rsidR="00CA0F30" w:rsidRPr="00FC4502" w:rsidRDefault="00CA0F30" w:rsidP="00F2273F">
            <w:pPr>
              <w:pStyle w:val="TableParagraph"/>
              <w:spacing w:before="22" w:line="167" w:lineRule="exact"/>
              <w:ind w:left="31"/>
              <w:jc w:val="center"/>
              <w:rPr>
                <w:sz w:val="20"/>
              </w:rPr>
            </w:pPr>
            <w:r w:rsidRPr="00FC4502">
              <w:rPr>
                <w:spacing w:val="-1"/>
                <w:w w:val="105"/>
                <w:sz w:val="20"/>
              </w:rPr>
              <w:t>Mjek</w:t>
            </w:r>
            <w:r w:rsidRPr="00FC4502">
              <w:rPr>
                <w:spacing w:val="-9"/>
                <w:w w:val="105"/>
                <w:sz w:val="20"/>
              </w:rPr>
              <w:t xml:space="preserve"> </w:t>
            </w:r>
            <w:r w:rsidRPr="00FC4502">
              <w:rPr>
                <w:spacing w:val="-1"/>
                <w:w w:val="105"/>
                <w:sz w:val="20"/>
              </w:rPr>
              <w:t>Veterniar</w:t>
            </w:r>
            <w:r w:rsidR="00FE7E23">
              <w:rPr>
                <w:spacing w:val="-1"/>
                <w:w w:val="105"/>
                <w:sz w:val="20"/>
              </w:rPr>
              <w:t>,</w:t>
            </w:r>
            <w:r w:rsidR="00FE7E23" w:rsidRPr="00FC4502">
              <w:rPr>
                <w:sz w:val="20"/>
              </w:rPr>
              <w:t xml:space="preserve"> Farmacist,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14:paraId="4AB10A55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699" w:type="dxa"/>
          </w:tcPr>
          <w:p w14:paraId="04E6496E" w14:textId="442C4C2C" w:rsidR="00CA0F30" w:rsidRPr="00FC4502" w:rsidRDefault="00CA0F30" w:rsidP="00F2273F">
            <w:pPr>
              <w:pStyle w:val="TableParagraph"/>
              <w:spacing w:before="86"/>
              <w:ind w:left="243"/>
              <w:rPr>
                <w:sz w:val="20"/>
              </w:rPr>
            </w:pPr>
            <w:r w:rsidRPr="00FC4502">
              <w:rPr>
                <w:sz w:val="20"/>
              </w:rPr>
              <w:t>H</w:t>
            </w:r>
            <w:r w:rsidR="00FE7E23">
              <w:rPr>
                <w:sz w:val="20"/>
              </w:rPr>
              <w:t>6</w:t>
            </w:r>
          </w:p>
        </w:tc>
        <w:tc>
          <w:tcPr>
            <w:tcW w:w="1398" w:type="dxa"/>
          </w:tcPr>
          <w:p w14:paraId="119BBFAE" w14:textId="071B7321" w:rsidR="00CA0F30" w:rsidRPr="00FC4502" w:rsidRDefault="00CA0F30" w:rsidP="00F2273F">
            <w:pPr>
              <w:pStyle w:val="TableParagraph"/>
              <w:spacing w:before="76"/>
              <w:ind w:left="279" w:right="253"/>
              <w:jc w:val="center"/>
              <w:rPr>
                <w:sz w:val="20"/>
              </w:rPr>
            </w:pPr>
            <w:r w:rsidRPr="00FC4502">
              <w:rPr>
                <w:sz w:val="20"/>
              </w:rPr>
              <w:t>10</w:t>
            </w:r>
          </w:p>
        </w:tc>
        <w:tc>
          <w:tcPr>
            <w:tcW w:w="2795" w:type="dxa"/>
          </w:tcPr>
          <w:p w14:paraId="1F152AF6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</w:tc>
      </w:tr>
      <w:tr w:rsidR="00CA0F30" w:rsidRPr="00FC4502" w14:paraId="25629BFB" w14:textId="77777777" w:rsidTr="00F2273F">
        <w:trPr>
          <w:trHeight w:val="375"/>
        </w:trPr>
        <w:tc>
          <w:tcPr>
            <w:tcW w:w="699" w:type="dxa"/>
            <w:shd w:val="clear" w:color="auto" w:fill="ECECEC"/>
          </w:tcPr>
          <w:p w14:paraId="43EE8F5A" w14:textId="77777777" w:rsidR="00CA0F30" w:rsidRPr="00FC4502" w:rsidRDefault="00CA0F30" w:rsidP="00F2273F">
            <w:pPr>
              <w:pStyle w:val="TableParagraph"/>
              <w:spacing w:before="86"/>
              <w:ind w:left="29"/>
              <w:jc w:val="center"/>
              <w:rPr>
                <w:sz w:val="20"/>
              </w:rPr>
            </w:pPr>
            <w:r w:rsidRPr="00FC4502">
              <w:rPr>
                <w:w w:val="99"/>
                <w:sz w:val="20"/>
              </w:rPr>
              <w:t>9</w:t>
            </w:r>
          </w:p>
        </w:tc>
        <w:tc>
          <w:tcPr>
            <w:tcW w:w="2794" w:type="dxa"/>
          </w:tcPr>
          <w:p w14:paraId="31FE462A" w14:textId="77777777" w:rsidR="00CA0F30" w:rsidRPr="00FC4502" w:rsidRDefault="00CA0F30" w:rsidP="00F2273F">
            <w:pPr>
              <w:pStyle w:val="TableParagraph"/>
              <w:spacing w:line="167" w:lineRule="exact"/>
              <w:ind w:left="27"/>
              <w:jc w:val="center"/>
              <w:rPr>
                <w:sz w:val="20"/>
              </w:rPr>
            </w:pPr>
            <w:r w:rsidRPr="00FC4502">
              <w:rPr>
                <w:spacing w:val="-1"/>
                <w:w w:val="105"/>
                <w:sz w:val="20"/>
              </w:rPr>
              <w:t>Specialist i Psikologjise</w:t>
            </w:r>
            <w:r w:rsidRPr="00FC4502">
              <w:rPr>
                <w:spacing w:val="-8"/>
                <w:w w:val="105"/>
                <w:sz w:val="20"/>
              </w:rPr>
              <w:t xml:space="preserve"> </w:t>
            </w:r>
            <w:r w:rsidRPr="00FC4502">
              <w:rPr>
                <w:spacing w:val="-1"/>
                <w:w w:val="105"/>
                <w:sz w:val="20"/>
              </w:rPr>
              <w:t xml:space="preserve">Klinike , </w:t>
            </w:r>
            <w:r w:rsidRPr="00FC4502">
              <w:rPr>
                <w:w w:val="105"/>
                <w:sz w:val="20"/>
              </w:rPr>
              <w:t>Ekspert i</w:t>
            </w:r>
            <w:r w:rsidRPr="00FC4502">
              <w:rPr>
                <w:spacing w:val="1"/>
                <w:w w:val="105"/>
                <w:sz w:val="20"/>
              </w:rPr>
              <w:t xml:space="preserve"> </w:t>
            </w:r>
            <w:r w:rsidRPr="00FC4502">
              <w:rPr>
                <w:w w:val="105"/>
                <w:sz w:val="20"/>
              </w:rPr>
              <w:t>Fizikës</w:t>
            </w:r>
            <w:r w:rsidRPr="00FC4502">
              <w:rPr>
                <w:spacing w:val="-2"/>
                <w:w w:val="105"/>
                <w:sz w:val="20"/>
              </w:rPr>
              <w:t xml:space="preserve"> </w:t>
            </w:r>
            <w:r w:rsidRPr="00FC4502">
              <w:rPr>
                <w:w w:val="105"/>
                <w:sz w:val="20"/>
              </w:rPr>
              <w:t>Mjekësore</w:t>
            </w:r>
          </w:p>
          <w:p w14:paraId="02D68444" w14:textId="77777777" w:rsidR="00CA0F30" w:rsidRPr="00FC4502" w:rsidRDefault="00CA0F30" w:rsidP="00F2273F">
            <w:pPr>
              <w:pStyle w:val="TableParagraph"/>
              <w:spacing w:before="90"/>
              <w:ind w:left="25"/>
              <w:jc w:val="center"/>
              <w:rPr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14:paraId="7A9CD15B" w14:textId="77777777" w:rsidR="00CA0F30" w:rsidRPr="00FC4502" w:rsidRDefault="00CA0F30" w:rsidP="00F2273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699" w:type="dxa"/>
          </w:tcPr>
          <w:p w14:paraId="6D189A27" w14:textId="42A9CC0A" w:rsidR="00CA0F30" w:rsidRPr="00FC4502" w:rsidRDefault="00CA0F30" w:rsidP="00F2273F">
            <w:pPr>
              <w:pStyle w:val="TableParagraph"/>
              <w:spacing w:before="86"/>
              <w:ind w:left="243"/>
              <w:rPr>
                <w:sz w:val="20"/>
              </w:rPr>
            </w:pPr>
            <w:r w:rsidRPr="00FC4502">
              <w:rPr>
                <w:sz w:val="20"/>
              </w:rPr>
              <w:t>H</w:t>
            </w:r>
            <w:r w:rsidR="00FE7E23">
              <w:rPr>
                <w:sz w:val="20"/>
              </w:rPr>
              <w:t>7</w:t>
            </w:r>
          </w:p>
        </w:tc>
        <w:tc>
          <w:tcPr>
            <w:tcW w:w="1398" w:type="dxa"/>
          </w:tcPr>
          <w:p w14:paraId="63DEB1F1" w14:textId="77777777" w:rsidR="00CA0F30" w:rsidRPr="00FC4502" w:rsidRDefault="00CA0F30" w:rsidP="00F2273F">
            <w:pPr>
              <w:pStyle w:val="TableParagraph"/>
              <w:spacing w:before="76"/>
              <w:ind w:left="23"/>
              <w:jc w:val="center"/>
              <w:rPr>
                <w:sz w:val="20"/>
              </w:rPr>
            </w:pPr>
            <w:r w:rsidRPr="00FC4502">
              <w:rPr>
                <w:w w:val="99"/>
                <w:sz w:val="20"/>
              </w:rPr>
              <w:t>7</w:t>
            </w:r>
          </w:p>
        </w:tc>
        <w:tc>
          <w:tcPr>
            <w:tcW w:w="2795" w:type="dxa"/>
          </w:tcPr>
          <w:p w14:paraId="715D5A6B" w14:textId="77777777" w:rsidR="00CA0F30" w:rsidRPr="00FC4502" w:rsidRDefault="00CA0F30" w:rsidP="00F2273F">
            <w:pPr>
              <w:pStyle w:val="TableParagraph"/>
              <w:rPr>
                <w:sz w:val="20"/>
              </w:rPr>
            </w:pPr>
          </w:p>
        </w:tc>
      </w:tr>
    </w:tbl>
    <w:p w14:paraId="5306AF3E" w14:textId="77777777" w:rsidR="00CA0F30" w:rsidRPr="00FC4502" w:rsidRDefault="00CA0F30" w:rsidP="002C197F">
      <w:pPr>
        <w:rPr>
          <w:rFonts w:ascii="Times New Roman" w:hAnsi="Times New Roman" w:cs="Times New Roman"/>
          <w:sz w:val="24"/>
          <w:szCs w:val="24"/>
        </w:rPr>
      </w:pPr>
    </w:p>
    <w:sectPr w:rsidR="00CA0F30" w:rsidRPr="00FC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AA01CA"/>
    <w:multiLevelType w:val="multilevel"/>
    <w:tmpl w:val="C9B6E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A644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291E5F"/>
    <w:multiLevelType w:val="multilevel"/>
    <w:tmpl w:val="C9B6E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E4F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762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73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7686635">
    <w:abstractNumId w:val="2"/>
  </w:num>
  <w:num w:numId="2" w16cid:durableId="421343739">
    <w:abstractNumId w:val="1"/>
  </w:num>
  <w:num w:numId="3" w16cid:durableId="659236888">
    <w:abstractNumId w:val="3"/>
  </w:num>
  <w:num w:numId="4" w16cid:durableId="711155811">
    <w:abstractNumId w:val="5"/>
  </w:num>
  <w:num w:numId="5" w16cid:durableId="487744937">
    <w:abstractNumId w:val="0"/>
  </w:num>
  <w:num w:numId="6" w16cid:durableId="1240751572">
    <w:abstractNumId w:val="6"/>
  </w:num>
  <w:num w:numId="7" w16cid:durableId="70858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68"/>
    <w:rsid w:val="00002BBB"/>
    <w:rsid w:val="00005D3F"/>
    <w:rsid w:val="00021D1A"/>
    <w:rsid w:val="00041A00"/>
    <w:rsid w:val="000420FB"/>
    <w:rsid w:val="0006349D"/>
    <w:rsid w:val="000759B1"/>
    <w:rsid w:val="000C00C8"/>
    <w:rsid w:val="001B3650"/>
    <w:rsid w:val="001D2F99"/>
    <w:rsid w:val="00214C9A"/>
    <w:rsid w:val="00282B68"/>
    <w:rsid w:val="002A08DD"/>
    <w:rsid w:val="002C197F"/>
    <w:rsid w:val="002C51E1"/>
    <w:rsid w:val="002D1053"/>
    <w:rsid w:val="002D69CA"/>
    <w:rsid w:val="002E7A62"/>
    <w:rsid w:val="003440B0"/>
    <w:rsid w:val="00370C32"/>
    <w:rsid w:val="00383A6D"/>
    <w:rsid w:val="003C6489"/>
    <w:rsid w:val="003E0EE0"/>
    <w:rsid w:val="003F44BD"/>
    <w:rsid w:val="00423E10"/>
    <w:rsid w:val="00451D5F"/>
    <w:rsid w:val="004C5949"/>
    <w:rsid w:val="004D489E"/>
    <w:rsid w:val="004D7935"/>
    <w:rsid w:val="005F177B"/>
    <w:rsid w:val="006A1B25"/>
    <w:rsid w:val="00714524"/>
    <w:rsid w:val="00741EBB"/>
    <w:rsid w:val="007C4EC1"/>
    <w:rsid w:val="007F5540"/>
    <w:rsid w:val="008217AF"/>
    <w:rsid w:val="00827A3F"/>
    <w:rsid w:val="00835097"/>
    <w:rsid w:val="00874128"/>
    <w:rsid w:val="00896DBF"/>
    <w:rsid w:val="008E166A"/>
    <w:rsid w:val="00922C47"/>
    <w:rsid w:val="00937558"/>
    <w:rsid w:val="0096308B"/>
    <w:rsid w:val="009C2DAA"/>
    <w:rsid w:val="009D087E"/>
    <w:rsid w:val="00A97BDB"/>
    <w:rsid w:val="00AA3933"/>
    <w:rsid w:val="00B40196"/>
    <w:rsid w:val="00B736CD"/>
    <w:rsid w:val="00B766BA"/>
    <w:rsid w:val="00B902C3"/>
    <w:rsid w:val="00BF3F84"/>
    <w:rsid w:val="00C63814"/>
    <w:rsid w:val="00CA0F30"/>
    <w:rsid w:val="00CA28B9"/>
    <w:rsid w:val="00D0381F"/>
    <w:rsid w:val="00D46C1E"/>
    <w:rsid w:val="00E05E48"/>
    <w:rsid w:val="00E427FA"/>
    <w:rsid w:val="00E457D1"/>
    <w:rsid w:val="00EA5643"/>
    <w:rsid w:val="00EF2E5F"/>
    <w:rsid w:val="00F220EB"/>
    <w:rsid w:val="00F372A8"/>
    <w:rsid w:val="00F81643"/>
    <w:rsid w:val="00FB426B"/>
    <w:rsid w:val="00FC4502"/>
    <w:rsid w:val="00FC5AB3"/>
    <w:rsid w:val="00FE7E23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0FE0"/>
  <w15:chartTrackingRefBased/>
  <w15:docId w15:val="{CCEB3EF3-7EC3-4CA6-872D-F0298C3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M numbered bullets,1st level - Bullet List Paragraph,Lettre d'introduction,Normal bullet 2,Bullet list,Listenabsatz1,Table of contents numbered,F5 List Paragraph,Numbered List,Paragraph,Bullet EY,List Paragraph11,Normal bullet 21,Bullet "/>
    <w:basedOn w:val="Normal"/>
    <w:link w:val="ListParagraphChar"/>
    <w:uiPriority w:val="34"/>
    <w:qFormat/>
    <w:rsid w:val="00AA3933"/>
    <w:pPr>
      <w:widowControl w:val="0"/>
      <w:autoSpaceDE w:val="0"/>
      <w:autoSpaceDN w:val="0"/>
      <w:spacing w:after="0" w:line="240" w:lineRule="auto"/>
      <w:ind w:left="85" w:right="63"/>
    </w:pPr>
    <w:rPr>
      <w:rFonts w:ascii="Times New Roman" w:eastAsia="Times New Roman" w:hAnsi="Times New Roman" w:cs="Times New Roman"/>
      <w:sz w:val="24"/>
      <w:lang w:val="sq-AL"/>
    </w:rPr>
  </w:style>
  <w:style w:type="character" w:customStyle="1" w:styleId="ListParagraphChar">
    <w:name w:val="List Paragraph Char"/>
    <w:aliases w:val="OM numbered bullets Char,1st level - Bullet List Paragraph Char,Lettre d'introduction Char,Normal bullet 2 Char,Bullet list Char,Listenabsatz1 Char,Table of contents numbered Char,F5 List Paragraph Char,Numbered List Char"/>
    <w:link w:val="ListParagraph"/>
    <w:uiPriority w:val="34"/>
    <w:rsid w:val="00AA3933"/>
    <w:rPr>
      <w:rFonts w:ascii="Times New Roman" w:eastAsia="Times New Roman" w:hAnsi="Times New Roman" w:cs="Times New Roman"/>
      <w:sz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741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L390</cp:lastModifiedBy>
  <cp:revision>4</cp:revision>
  <dcterms:created xsi:type="dcterms:W3CDTF">2022-10-06T14:27:00Z</dcterms:created>
  <dcterms:modified xsi:type="dcterms:W3CDTF">2022-10-06T14:35:00Z</dcterms:modified>
</cp:coreProperties>
</file>