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98"/>
        <w:gridCol w:w="4674"/>
        <w:gridCol w:w="2198"/>
      </w:tblGrid>
      <w:tr w:rsidR="00C06128" w:rsidRPr="008917BE" w14:paraId="6E71B14E" w14:textId="77777777"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1E8067A1" w14:textId="77777777" w:rsidR="00C06128" w:rsidRPr="008917BE" w:rsidRDefault="00C06128">
            <w:pPr>
              <w:rPr>
                <w:lang w:val="sq-AL"/>
              </w:rPr>
            </w:pPr>
          </w:p>
        </w:tc>
        <w:tc>
          <w:tcPr>
            <w:tcW w:w="66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3F145D76" w14:textId="77777777" w:rsidR="00C06128" w:rsidRPr="008917BE" w:rsidRDefault="00000000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b/>
                <w:sz w:val="22"/>
                <w:szCs w:val="22"/>
                <w:lang w:val="sq-AL"/>
              </w:rPr>
              <w:t>TEMPLATE PËR DËRGIMIN E KOMENTEVE</w:t>
            </w: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0B5246C5" w14:textId="77777777" w:rsidR="00C06128" w:rsidRPr="008917BE" w:rsidRDefault="00C06128">
            <w:pPr>
              <w:rPr>
                <w:lang w:val="sq-AL"/>
              </w:rPr>
            </w:pPr>
          </w:p>
        </w:tc>
      </w:tr>
    </w:tbl>
    <w:p w14:paraId="1AABF0F4" w14:textId="77777777" w:rsidR="00C06128" w:rsidRPr="008917BE" w:rsidRDefault="00C06128">
      <w:pPr>
        <w:rPr>
          <w:lang w:val="sq-AL"/>
        </w:rPr>
      </w:pPr>
    </w:p>
    <w:tbl>
      <w:tblPr>
        <w:tblStyle w:val="temptablestyle"/>
        <w:tblW w:w="0" w:type="auto"/>
        <w:tblInd w:w="13" w:type="dxa"/>
        <w:tblLook w:val="04A0" w:firstRow="1" w:lastRow="0" w:firstColumn="1" w:lastColumn="0" w:noHBand="0" w:noVBand="1"/>
      </w:tblPr>
      <w:tblGrid>
        <w:gridCol w:w="3260"/>
        <w:gridCol w:w="5771"/>
      </w:tblGrid>
      <w:tr w:rsidR="00C06128" w:rsidRPr="008917BE" w14:paraId="6E8CC71E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477E9B" w14:textId="0947F3EB" w:rsidR="00C06128" w:rsidRPr="008917BE" w:rsidRDefault="00000000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Titulli i draft ligjit/dokumenti i konceptit/strategjia ose ndonjë akt në </w:t>
            </w:r>
            <w:r w:rsidR="00074CE7"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konsul</w:t>
            </w:r>
            <w:r w:rsidR="00074CE7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të me</w:t>
            </w: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 publike </w:t>
            </w: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D0E277" w14:textId="77777777" w:rsidR="00C06128" w:rsidRPr="008917BE" w:rsidRDefault="00000000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PROJEKTLIGJI PËR PAGAT NË SEKTORIN PUBLIK   </w:t>
            </w:r>
          </w:p>
        </w:tc>
      </w:tr>
      <w:tr w:rsidR="00C06128" w:rsidRPr="008917BE" w14:paraId="381913AE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BFCC93" w14:textId="77777777" w:rsidR="00C06128" w:rsidRPr="008917BE" w:rsidRDefault="00000000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Entiteti publik </w:t>
            </w: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17F4DA" w14:textId="5BBB0F33" w:rsidR="00C06128" w:rsidRPr="008917BE" w:rsidRDefault="00C06128">
            <w:pPr>
              <w:rPr>
                <w:lang w:val="sq-AL"/>
              </w:rPr>
            </w:pPr>
          </w:p>
        </w:tc>
      </w:tr>
      <w:tr w:rsidR="00C06128" w:rsidRPr="008917BE" w14:paraId="292FC6FD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14D4CD" w14:textId="77777777" w:rsidR="00C06128" w:rsidRPr="008917BE" w:rsidRDefault="00000000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Emri i </w:t>
            </w:r>
            <w:proofErr w:type="spellStart"/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kontribuesit</w:t>
            </w:r>
            <w:proofErr w:type="spellEnd"/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 (organizatë/individ) </w:t>
            </w: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348719" w14:textId="31E6B2BA" w:rsidR="00C06128" w:rsidRPr="008917BE" w:rsidRDefault="00E30E20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b/>
                <w:sz w:val="22"/>
                <w:szCs w:val="22"/>
                <w:lang w:val="sq-AL"/>
              </w:rPr>
              <w:t>Enver Boqolli</w:t>
            </w:r>
            <w:r w:rsidR="00000000" w:rsidRPr="008917BE">
              <w:rPr>
                <w:rFonts w:ascii="Cambria (Headings)" w:hAnsi="Cambria (Headings)" w:cs="Cambria (Headings)"/>
                <w:b/>
                <w:sz w:val="22"/>
                <w:szCs w:val="22"/>
                <w:lang w:val="sq-AL"/>
              </w:rPr>
              <w:t xml:space="preserve"> </w:t>
            </w:r>
            <w:r w:rsidR="0096291F">
              <w:rPr>
                <w:rFonts w:ascii="Cambria (Headings)" w:hAnsi="Cambria (Headings)" w:cs="Cambria (Headings)"/>
                <w:b/>
                <w:sz w:val="22"/>
                <w:szCs w:val="22"/>
                <w:lang w:val="sq-AL"/>
              </w:rPr>
              <w:t>–</w:t>
            </w:r>
            <w:r w:rsidR="00000000" w:rsidRPr="008917BE">
              <w:rPr>
                <w:rFonts w:ascii="Cambria (Headings)" w:hAnsi="Cambria (Headings)" w:cs="Cambria (Headings)"/>
                <w:b/>
                <w:sz w:val="22"/>
                <w:szCs w:val="22"/>
                <w:lang w:val="sq-AL"/>
              </w:rPr>
              <w:t xml:space="preserve"> </w:t>
            </w:r>
            <w:r w:rsidR="004F626C">
              <w:rPr>
                <w:rFonts w:ascii="Cambria (Headings)" w:hAnsi="Cambria (Headings)" w:cs="Cambria (Headings)"/>
                <w:b/>
                <w:sz w:val="22"/>
                <w:szCs w:val="22"/>
                <w:lang w:val="sq-AL"/>
              </w:rPr>
              <w:t>Qytetar</w:t>
            </w:r>
            <w:r w:rsidR="0096291F">
              <w:rPr>
                <w:rFonts w:ascii="Cambria (Headings)" w:hAnsi="Cambria (Headings)" w:cs="Cambria (Headings)"/>
                <w:b/>
                <w:sz w:val="22"/>
                <w:szCs w:val="22"/>
                <w:lang w:val="sq-AL"/>
              </w:rPr>
              <w:t xml:space="preserve"> </w:t>
            </w:r>
          </w:p>
        </w:tc>
      </w:tr>
      <w:tr w:rsidR="00C06128" w:rsidRPr="008917BE" w14:paraId="20031F44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F1A9F5" w14:textId="77777777" w:rsidR="00C06128" w:rsidRPr="008917BE" w:rsidRDefault="00000000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Komenti i përgjithshëm </w:t>
            </w: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C2B22B" w14:textId="29BADDCF" w:rsidR="00C06128" w:rsidRPr="008917BE" w:rsidRDefault="008917BE" w:rsidP="001E1EAA">
            <w:pPr>
              <w:rPr>
                <w:lang w:val="sq-AL"/>
              </w:rPr>
            </w:pPr>
            <w:r w:rsidRPr="008917BE">
              <w:rPr>
                <w:lang w:val="sq-AL"/>
              </w:rPr>
              <w:t>Këtij</w:t>
            </w:r>
            <w:r w:rsidR="001E1EAA" w:rsidRPr="008917BE">
              <w:rPr>
                <w:lang w:val="sq-AL"/>
              </w:rPr>
              <w:t xml:space="preserve"> projektligji duhet t’i shtohen edhe </w:t>
            </w:r>
            <w:r w:rsidR="00342879">
              <w:rPr>
                <w:lang w:val="sq-AL"/>
              </w:rPr>
              <w:t>katër (4)</w:t>
            </w:r>
            <w:r w:rsidR="001E1EAA" w:rsidRPr="008917BE">
              <w:rPr>
                <w:lang w:val="sq-AL"/>
              </w:rPr>
              <w:t xml:space="preserve"> nene q</w:t>
            </w:r>
            <w:r>
              <w:rPr>
                <w:lang w:val="sq-AL"/>
              </w:rPr>
              <w:t>ë</w:t>
            </w:r>
            <w:r w:rsidR="001E1EAA" w:rsidRPr="008917BE">
              <w:rPr>
                <w:lang w:val="sq-AL"/>
              </w:rPr>
              <w:t xml:space="preserve"> i </w:t>
            </w:r>
            <w:r w:rsidRPr="008917BE">
              <w:rPr>
                <w:lang w:val="sq-AL"/>
              </w:rPr>
              <w:t>rregullojnë</w:t>
            </w:r>
            <w:r w:rsidR="001E1EAA" w:rsidRPr="008917BE">
              <w:rPr>
                <w:lang w:val="sq-AL"/>
              </w:rPr>
              <w:t xml:space="preserve"> edhe </w:t>
            </w:r>
            <w:r w:rsidR="00A945FB">
              <w:rPr>
                <w:lang w:val="sq-AL"/>
              </w:rPr>
              <w:t>katër</w:t>
            </w:r>
            <w:r w:rsidR="001E1EAA" w:rsidRPr="008917BE">
              <w:rPr>
                <w:lang w:val="sq-AL"/>
              </w:rPr>
              <w:t xml:space="preserve"> </w:t>
            </w:r>
            <w:r>
              <w:rPr>
                <w:lang w:val="sq-AL"/>
              </w:rPr>
              <w:t>çë</w:t>
            </w:r>
            <w:r w:rsidR="001E1EAA" w:rsidRPr="008917BE">
              <w:rPr>
                <w:lang w:val="sq-AL"/>
              </w:rPr>
              <w:t>shtje q</w:t>
            </w:r>
            <w:r>
              <w:rPr>
                <w:lang w:val="sq-AL"/>
              </w:rPr>
              <w:t>ë</w:t>
            </w:r>
            <w:r w:rsidR="001E1EAA" w:rsidRPr="008917BE">
              <w:rPr>
                <w:lang w:val="sq-AL"/>
              </w:rPr>
              <w:t xml:space="preserve"> </w:t>
            </w:r>
            <w:r w:rsidRPr="008917BE">
              <w:rPr>
                <w:lang w:val="sq-AL"/>
              </w:rPr>
              <w:t>janë</w:t>
            </w:r>
            <w:r w:rsidR="001E1EAA" w:rsidRPr="008917BE">
              <w:rPr>
                <w:lang w:val="sq-AL"/>
              </w:rPr>
              <w:t xml:space="preserve"> n</w:t>
            </w:r>
            <w:r>
              <w:rPr>
                <w:lang w:val="sq-AL"/>
              </w:rPr>
              <w:t>ë</w:t>
            </w:r>
            <w:r w:rsidR="001E1EAA" w:rsidRPr="008917BE">
              <w:rPr>
                <w:lang w:val="sq-AL"/>
              </w:rPr>
              <w:t xml:space="preserve"> </w:t>
            </w:r>
            <w:r w:rsidRPr="008917BE">
              <w:rPr>
                <w:lang w:val="sq-AL"/>
              </w:rPr>
              <w:t>fushëveprimin</w:t>
            </w:r>
            <w:r w:rsidR="001E1EAA" w:rsidRPr="008917BE">
              <w:rPr>
                <w:lang w:val="sq-AL"/>
              </w:rPr>
              <w:t xml:space="preserve"> e </w:t>
            </w:r>
            <w:r w:rsidRPr="008917BE">
              <w:rPr>
                <w:lang w:val="sq-AL"/>
              </w:rPr>
              <w:t>këtij</w:t>
            </w:r>
            <w:r w:rsidR="001E1EAA" w:rsidRPr="008917BE">
              <w:rPr>
                <w:lang w:val="sq-AL"/>
              </w:rPr>
              <w:t xml:space="preserve"> ligji:</w:t>
            </w:r>
          </w:p>
          <w:p w14:paraId="0FC498B5" w14:textId="076C2DEA" w:rsidR="001E1EAA" w:rsidRPr="008917BE" w:rsidRDefault="001E1EAA" w:rsidP="001E1EAA">
            <w:pPr>
              <w:rPr>
                <w:lang w:val="sq-AL"/>
              </w:rPr>
            </w:pPr>
            <w:r w:rsidRPr="008917BE">
              <w:rPr>
                <w:lang w:val="sq-AL"/>
              </w:rPr>
              <w:t xml:space="preserve">1. </w:t>
            </w:r>
            <w:r w:rsidR="008917BE" w:rsidRPr="008917BE">
              <w:rPr>
                <w:lang w:val="sq-AL"/>
              </w:rPr>
              <w:t>Për</w:t>
            </w:r>
            <w:r w:rsidRPr="008917BE">
              <w:rPr>
                <w:lang w:val="sq-AL"/>
              </w:rPr>
              <w:t xml:space="preserve"> rregullimin e </w:t>
            </w:r>
            <w:r w:rsidR="008917BE" w:rsidRPr="008917BE">
              <w:rPr>
                <w:lang w:val="sq-AL"/>
              </w:rPr>
              <w:t>pagës</w:t>
            </w:r>
            <w:r w:rsidRPr="008917BE">
              <w:rPr>
                <w:lang w:val="sq-AL"/>
              </w:rPr>
              <w:t xml:space="preserve"> </w:t>
            </w:r>
            <w:r w:rsidR="008917BE" w:rsidRPr="008917BE">
              <w:rPr>
                <w:lang w:val="sq-AL"/>
              </w:rPr>
              <w:t>përcjellëse</w:t>
            </w:r>
            <w:r w:rsidRPr="008917BE">
              <w:rPr>
                <w:lang w:val="sq-AL"/>
              </w:rPr>
              <w:t xml:space="preserve"> </w:t>
            </w:r>
            <w:r w:rsidR="005A12FD" w:rsidRPr="008917BE">
              <w:rPr>
                <w:lang w:val="sq-AL"/>
              </w:rPr>
              <w:t>me</w:t>
            </w:r>
            <w:r w:rsidRPr="008917BE">
              <w:rPr>
                <w:lang w:val="sq-AL"/>
              </w:rPr>
              <w:t xml:space="preserve"> rastin e pe</w:t>
            </w:r>
            <w:r w:rsidR="0041152D">
              <w:rPr>
                <w:lang w:val="sq-AL"/>
              </w:rPr>
              <w:t>n</w:t>
            </w:r>
            <w:r w:rsidRPr="008917BE">
              <w:rPr>
                <w:lang w:val="sq-AL"/>
              </w:rPr>
              <w:t>sionim</w:t>
            </w:r>
            <w:r w:rsidR="004F626C">
              <w:rPr>
                <w:lang w:val="sq-AL"/>
              </w:rPr>
              <w:t>it</w:t>
            </w:r>
            <w:r w:rsidRPr="008917BE">
              <w:rPr>
                <w:lang w:val="sq-AL"/>
              </w:rPr>
              <w:t xml:space="preserve"> </w:t>
            </w:r>
            <w:r w:rsidR="005A12FD" w:rsidRPr="008917BE">
              <w:rPr>
                <w:lang w:val="sq-AL"/>
              </w:rPr>
              <w:t>t</w:t>
            </w:r>
            <w:r w:rsidR="0041152D">
              <w:rPr>
                <w:lang w:val="sq-AL"/>
              </w:rPr>
              <w:t>ë</w:t>
            </w:r>
            <w:r w:rsidR="005A12FD" w:rsidRPr="008917BE">
              <w:rPr>
                <w:lang w:val="sq-AL"/>
              </w:rPr>
              <w:t xml:space="preserve"> zyrtareve </w:t>
            </w:r>
            <w:r w:rsidR="0041152D" w:rsidRPr="008917BE">
              <w:rPr>
                <w:lang w:val="sq-AL"/>
              </w:rPr>
              <w:t>publik</w:t>
            </w:r>
            <w:r w:rsidR="005A12FD" w:rsidRPr="008917BE">
              <w:rPr>
                <w:lang w:val="sq-AL"/>
              </w:rPr>
              <w:t xml:space="preserve"> </w:t>
            </w:r>
            <w:r w:rsidRPr="008917BE">
              <w:rPr>
                <w:lang w:val="sq-AL"/>
              </w:rPr>
              <w:t>(</w:t>
            </w:r>
            <w:r w:rsidR="005A12FD" w:rsidRPr="008917BE">
              <w:rPr>
                <w:lang w:val="sq-AL"/>
              </w:rPr>
              <w:t xml:space="preserve">edhe </w:t>
            </w:r>
            <w:r w:rsidRPr="008917BE">
              <w:rPr>
                <w:lang w:val="sq-AL"/>
              </w:rPr>
              <w:t>aktualisht j</w:t>
            </w:r>
            <w:r w:rsidR="00A945FB">
              <w:rPr>
                <w:lang w:val="sq-AL"/>
              </w:rPr>
              <w:t xml:space="preserve">anë duke u zbatuar </w:t>
            </w:r>
            <w:r w:rsidR="0041152D">
              <w:rPr>
                <w:lang w:val="sq-AL"/>
              </w:rPr>
              <w:t>këto paga</w:t>
            </w:r>
            <w:r w:rsidRPr="008917BE">
              <w:rPr>
                <w:lang w:val="sq-AL"/>
              </w:rPr>
              <w:t>)</w:t>
            </w:r>
            <w:r w:rsidRPr="008917BE">
              <w:rPr>
                <w:lang w:val="sq-AL"/>
              </w:rPr>
              <w:t>;</w:t>
            </w:r>
          </w:p>
          <w:p w14:paraId="2AA34286" w14:textId="361ACDBA" w:rsidR="001E1EAA" w:rsidRPr="008917BE" w:rsidRDefault="001E1EAA" w:rsidP="001E1EAA">
            <w:pPr>
              <w:rPr>
                <w:lang w:val="sq-AL"/>
              </w:rPr>
            </w:pPr>
            <w:r w:rsidRPr="008917BE">
              <w:rPr>
                <w:lang w:val="sq-AL"/>
              </w:rPr>
              <w:t xml:space="preserve">2. </w:t>
            </w:r>
            <w:r w:rsidR="0041152D">
              <w:rPr>
                <w:lang w:val="sq-AL"/>
              </w:rPr>
              <w:t>P</w:t>
            </w:r>
            <w:r w:rsidR="0041152D" w:rsidRPr="008917BE">
              <w:rPr>
                <w:lang w:val="sq-AL"/>
              </w:rPr>
              <w:t>ër</w:t>
            </w:r>
            <w:r w:rsidRPr="008917BE">
              <w:rPr>
                <w:lang w:val="sq-AL"/>
              </w:rPr>
              <w:t xml:space="preserve"> </w:t>
            </w:r>
            <w:r w:rsidR="0041152D" w:rsidRPr="008917BE">
              <w:rPr>
                <w:lang w:val="sq-AL"/>
              </w:rPr>
              <w:t>pagesën</w:t>
            </w:r>
            <w:r w:rsidRPr="008917BE">
              <w:rPr>
                <w:lang w:val="sq-AL"/>
              </w:rPr>
              <w:t xml:space="preserve"> e pagave Jubilare (</w:t>
            </w:r>
            <w:r w:rsidR="005A12FD" w:rsidRPr="008917BE">
              <w:rPr>
                <w:lang w:val="sq-AL"/>
              </w:rPr>
              <w:t xml:space="preserve">edhe </w:t>
            </w:r>
            <w:r w:rsidRPr="008917BE">
              <w:rPr>
                <w:lang w:val="sq-AL"/>
              </w:rPr>
              <w:t xml:space="preserve">aktualisht </w:t>
            </w:r>
            <w:r w:rsidR="00A945FB">
              <w:rPr>
                <w:lang w:val="sq-AL"/>
              </w:rPr>
              <w:t>është në zbatim</w:t>
            </w:r>
            <w:r w:rsidRPr="008917BE">
              <w:rPr>
                <w:lang w:val="sq-AL"/>
              </w:rPr>
              <w:t xml:space="preserve">); </w:t>
            </w:r>
          </w:p>
          <w:p w14:paraId="067BE328" w14:textId="5BD108B1" w:rsidR="001E1EAA" w:rsidRDefault="001E1EAA" w:rsidP="001E1EAA">
            <w:pPr>
              <w:rPr>
                <w:lang w:val="sq-AL"/>
              </w:rPr>
            </w:pPr>
            <w:r w:rsidRPr="008917BE">
              <w:rPr>
                <w:lang w:val="sq-AL"/>
              </w:rPr>
              <w:t xml:space="preserve">3. </w:t>
            </w:r>
            <w:r w:rsidR="0041152D" w:rsidRPr="008917BE">
              <w:rPr>
                <w:lang w:val="sq-AL"/>
              </w:rPr>
              <w:t>Pagën</w:t>
            </w:r>
            <w:r w:rsidRPr="008917BE">
              <w:rPr>
                <w:lang w:val="sq-AL"/>
              </w:rPr>
              <w:t xml:space="preserve"> e </w:t>
            </w:r>
            <w:r w:rsidR="00A945FB">
              <w:rPr>
                <w:lang w:val="sq-AL"/>
              </w:rPr>
              <w:t>trembëdhjetë (</w:t>
            </w:r>
            <w:r w:rsidRPr="008917BE">
              <w:rPr>
                <w:lang w:val="sq-AL"/>
              </w:rPr>
              <w:t>13</w:t>
            </w:r>
            <w:r w:rsidR="00A945FB">
              <w:rPr>
                <w:lang w:val="sq-AL"/>
              </w:rPr>
              <w:t>)</w:t>
            </w:r>
            <w:r w:rsidRPr="008917BE">
              <w:rPr>
                <w:lang w:val="sq-AL"/>
              </w:rPr>
              <w:t xml:space="preserve">, </w:t>
            </w:r>
            <w:r w:rsidR="0041152D" w:rsidRPr="008917BE">
              <w:rPr>
                <w:lang w:val="sq-AL"/>
              </w:rPr>
              <w:t>siç</w:t>
            </w:r>
            <w:r w:rsidRPr="008917BE">
              <w:rPr>
                <w:lang w:val="sq-AL"/>
              </w:rPr>
              <w:t xml:space="preserve"> </w:t>
            </w:r>
            <w:r w:rsidR="00A945FB">
              <w:rPr>
                <w:lang w:val="sq-AL"/>
              </w:rPr>
              <w:t>praktikohet në</w:t>
            </w:r>
            <w:r w:rsidRPr="008917BE">
              <w:rPr>
                <w:lang w:val="sq-AL"/>
              </w:rPr>
              <w:t xml:space="preserve"> t</w:t>
            </w:r>
            <w:r w:rsidR="0041152D">
              <w:rPr>
                <w:lang w:val="sq-AL"/>
              </w:rPr>
              <w:t>ë</w:t>
            </w:r>
            <w:r w:rsidRPr="008917BE">
              <w:rPr>
                <w:lang w:val="sq-AL"/>
              </w:rPr>
              <w:t xml:space="preserve"> gjitha shtetet demokratike n</w:t>
            </w:r>
            <w:r w:rsidR="0041152D">
              <w:rPr>
                <w:lang w:val="sq-AL"/>
              </w:rPr>
              <w:t>ë</w:t>
            </w:r>
            <w:r w:rsidRPr="008917BE">
              <w:rPr>
                <w:lang w:val="sq-AL"/>
              </w:rPr>
              <w:t xml:space="preserve"> </w:t>
            </w:r>
            <w:r w:rsidR="0041152D" w:rsidRPr="008917BE">
              <w:rPr>
                <w:lang w:val="sq-AL"/>
              </w:rPr>
              <w:t>Evropë</w:t>
            </w:r>
            <w:r w:rsidRPr="008917BE">
              <w:rPr>
                <w:lang w:val="sq-AL"/>
              </w:rPr>
              <w:t xml:space="preserve"> (kjo deri tani nuk </w:t>
            </w:r>
            <w:r w:rsidR="0041152D" w:rsidRPr="008917BE">
              <w:rPr>
                <w:lang w:val="sq-AL"/>
              </w:rPr>
              <w:t>është</w:t>
            </w:r>
            <w:r w:rsidRPr="008917BE">
              <w:rPr>
                <w:lang w:val="sq-AL"/>
              </w:rPr>
              <w:t xml:space="preserve"> aplikuar</w:t>
            </w:r>
            <w:r w:rsidR="0041152D">
              <w:rPr>
                <w:lang w:val="sq-AL"/>
              </w:rPr>
              <w:t>, por nëse tani nuk mbetet n</w:t>
            </w:r>
            <w:r w:rsidR="00FE6565">
              <w:rPr>
                <w:lang w:val="sq-AL"/>
              </w:rPr>
              <w:t>ë</w:t>
            </w:r>
            <w:r w:rsidR="0041152D">
              <w:rPr>
                <w:lang w:val="sq-AL"/>
              </w:rPr>
              <w:t xml:space="preserve"> ligj</w:t>
            </w:r>
            <w:r w:rsidR="00FE6565">
              <w:rPr>
                <w:lang w:val="sq-AL"/>
              </w:rPr>
              <w:t>, kjo nuk do t</w:t>
            </w:r>
            <w:r w:rsidR="00A945FB">
              <w:rPr>
                <w:lang w:val="sq-AL"/>
              </w:rPr>
              <w:t>ë</w:t>
            </w:r>
            <w:r w:rsidR="00FE6565">
              <w:rPr>
                <w:lang w:val="sq-AL"/>
              </w:rPr>
              <w:t xml:space="preserve"> mund t</w:t>
            </w:r>
            <w:r w:rsidR="00A945FB">
              <w:rPr>
                <w:lang w:val="sq-AL"/>
              </w:rPr>
              <w:t>ë</w:t>
            </w:r>
            <w:r w:rsidR="00FE6565">
              <w:rPr>
                <w:lang w:val="sq-AL"/>
              </w:rPr>
              <w:t xml:space="preserve"> rregullohet me akte n</w:t>
            </w:r>
            <w:r w:rsidR="00A945FB">
              <w:rPr>
                <w:lang w:val="sq-AL"/>
              </w:rPr>
              <w:t>ë</w:t>
            </w:r>
            <w:r w:rsidR="00FE6565">
              <w:rPr>
                <w:lang w:val="sq-AL"/>
              </w:rPr>
              <w:t>n ligjore pastaj</w:t>
            </w:r>
            <w:r w:rsidRPr="008917BE">
              <w:rPr>
                <w:lang w:val="sq-AL"/>
              </w:rPr>
              <w:t>)</w:t>
            </w:r>
            <w:r w:rsidR="00342879">
              <w:rPr>
                <w:lang w:val="sq-AL"/>
              </w:rPr>
              <w:t>; dhe</w:t>
            </w:r>
          </w:p>
          <w:p w14:paraId="7D78D7FE" w14:textId="372E08BA" w:rsidR="00342879" w:rsidRPr="008917BE" w:rsidRDefault="00342879" w:rsidP="001E1EAA">
            <w:pPr>
              <w:rPr>
                <w:lang w:val="sq-AL"/>
              </w:rPr>
            </w:pPr>
            <w:r>
              <w:rPr>
                <w:lang w:val="sq-AL"/>
              </w:rPr>
              <w:t xml:space="preserve">4. Pagesat për të punësuarit në </w:t>
            </w:r>
            <w:r w:rsidR="004F626C">
              <w:rPr>
                <w:lang w:val="sq-AL"/>
              </w:rPr>
              <w:t xml:space="preserve">punë </w:t>
            </w:r>
            <w:r>
              <w:rPr>
                <w:lang w:val="sq-AL"/>
              </w:rPr>
              <w:t>praktike (për praktikantet)</w:t>
            </w:r>
            <w:r w:rsidR="004F626C">
              <w:rPr>
                <w:lang w:val="sq-AL"/>
              </w:rPr>
              <w:t xml:space="preserve"> është </w:t>
            </w:r>
            <w:r w:rsidR="00F42B49">
              <w:rPr>
                <w:lang w:val="sq-AL"/>
              </w:rPr>
              <w:t>mbete</w:t>
            </w:r>
            <w:r w:rsidR="004F626C">
              <w:rPr>
                <w:lang w:val="sq-AL"/>
              </w:rPr>
              <w:t xml:space="preserve"> e pa rregulluar</w:t>
            </w:r>
            <w:r>
              <w:rPr>
                <w:lang w:val="sq-AL"/>
              </w:rPr>
              <w:t>.</w:t>
            </w:r>
          </w:p>
        </w:tc>
      </w:tr>
      <w:tr w:rsidR="00C06128" w:rsidRPr="008917BE" w14:paraId="6D3FC227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D32E13" w14:textId="77777777" w:rsidR="00C06128" w:rsidRPr="008917BE" w:rsidRDefault="00000000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Komenti ne artikullin specifik ose në ndonjë pjesë të draftit </w:t>
            </w: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2B53EE" w14:textId="5A4266B9" w:rsidR="00C06128" w:rsidRPr="008917BE" w:rsidRDefault="001E1EAA">
            <w:pPr>
              <w:rPr>
                <w:lang w:val="sq-AL"/>
              </w:rPr>
            </w:pPr>
            <w:r w:rsidRPr="008917BE">
              <w:rPr>
                <w:lang w:val="sq-AL"/>
              </w:rPr>
              <w:t>Te</w:t>
            </w:r>
            <w:r w:rsidR="005A12FD" w:rsidRPr="008917BE">
              <w:rPr>
                <w:lang w:val="sq-AL"/>
              </w:rPr>
              <w:t xml:space="preserve"> neni 6 paragrafi 4. </w:t>
            </w:r>
            <w:r w:rsidR="00FE6565">
              <w:rPr>
                <w:lang w:val="sq-AL"/>
              </w:rPr>
              <w:t>të</w:t>
            </w:r>
            <w:r w:rsidR="005A12FD" w:rsidRPr="008917BE">
              <w:rPr>
                <w:lang w:val="sq-AL"/>
              </w:rPr>
              <w:t xml:space="preserve"> korrigjohet numri </w:t>
            </w:r>
            <w:r w:rsidR="001F72BA" w:rsidRPr="008917BE">
              <w:rPr>
                <w:lang w:val="sq-AL"/>
              </w:rPr>
              <w:t>i</w:t>
            </w:r>
            <w:r w:rsidR="005A12FD" w:rsidRPr="008917BE">
              <w:rPr>
                <w:lang w:val="sq-AL"/>
              </w:rPr>
              <w:t xml:space="preserve"> </w:t>
            </w:r>
            <w:r w:rsidR="00FE6565" w:rsidRPr="008917BE">
              <w:rPr>
                <w:lang w:val="sq-AL"/>
              </w:rPr>
              <w:t>shtojcës</w:t>
            </w:r>
            <w:r w:rsidR="005A12FD" w:rsidRPr="008917BE">
              <w:rPr>
                <w:lang w:val="sq-AL"/>
              </w:rPr>
              <w:t xml:space="preserve"> </w:t>
            </w:r>
            <w:r w:rsidR="001F72BA" w:rsidRPr="008917BE">
              <w:rPr>
                <w:lang w:val="sq-AL"/>
              </w:rPr>
              <w:t xml:space="preserve">(e </w:t>
            </w:r>
            <w:r w:rsidR="00FE6565" w:rsidRPr="008917BE">
              <w:rPr>
                <w:lang w:val="sq-AL"/>
              </w:rPr>
              <w:t>përmend</w:t>
            </w:r>
            <w:r w:rsidR="001F72BA" w:rsidRPr="008917BE">
              <w:rPr>
                <w:lang w:val="sq-AL"/>
              </w:rPr>
              <w:t>,</w:t>
            </w:r>
            <w:r w:rsidR="001F72BA" w:rsidRPr="008917BE">
              <w:rPr>
                <w:szCs w:val="24"/>
                <w:lang w:val="sq-AL"/>
              </w:rPr>
              <w:t xml:space="preserve"> </w:t>
            </w:r>
            <w:r w:rsidR="001F72BA" w:rsidRPr="008917BE">
              <w:rPr>
                <w:szCs w:val="24"/>
                <w:lang w:val="sq-AL"/>
              </w:rPr>
              <w:t>Shtojcën Nr. 15 të këtij ligji</w:t>
            </w:r>
            <w:r w:rsidR="001F72BA" w:rsidRPr="008917BE">
              <w:rPr>
                <w:lang w:val="sq-AL"/>
              </w:rPr>
              <w:t xml:space="preserve">) </w:t>
            </w:r>
            <w:r w:rsidR="005A12FD" w:rsidRPr="008917BE">
              <w:rPr>
                <w:lang w:val="sq-AL"/>
              </w:rPr>
              <w:t>dhe t</w:t>
            </w:r>
            <w:r w:rsidR="00FE6565">
              <w:rPr>
                <w:lang w:val="sq-AL"/>
              </w:rPr>
              <w:t>ë</w:t>
            </w:r>
            <w:r w:rsidR="005A12FD" w:rsidRPr="008917BE">
              <w:rPr>
                <w:lang w:val="sq-AL"/>
              </w:rPr>
              <w:t xml:space="preserve"> </w:t>
            </w:r>
            <w:r w:rsidR="00FE6565" w:rsidRPr="008917BE">
              <w:rPr>
                <w:lang w:val="sq-AL"/>
              </w:rPr>
              <w:t>ndërlidhët</w:t>
            </w:r>
            <w:r w:rsidR="005A12FD" w:rsidRPr="008917BE">
              <w:rPr>
                <w:lang w:val="sq-AL"/>
              </w:rPr>
              <w:t xml:space="preserve"> me </w:t>
            </w:r>
            <w:r w:rsidR="00FE6565" w:rsidRPr="008917BE">
              <w:rPr>
                <w:lang w:val="sq-AL"/>
              </w:rPr>
              <w:t>tabelën</w:t>
            </w:r>
            <w:r w:rsidR="005A12FD" w:rsidRPr="008917BE">
              <w:rPr>
                <w:lang w:val="sq-AL"/>
              </w:rPr>
              <w:t xml:space="preserve"> e </w:t>
            </w:r>
            <w:r w:rsidR="00FE6565" w:rsidRPr="008917BE">
              <w:rPr>
                <w:lang w:val="sq-AL"/>
              </w:rPr>
              <w:t>koeficienteve, po</w:t>
            </w:r>
            <w:r w:rsidR="005A12FD" w:rsidRPr="008917BE">
              <w:rPr>
                <w:lang w:val="sq-AL"/>
              </w:rPr>
              <w:t xml:space="preserve"> ashtu t</w:t>
            </w:r>
            <w:r w:rsidR="00FE6565">
              <w:rPr>
                <w:lang w:val="sq-AL"/>
              </w:rPr>
              <w:t>ë</w:t>
            </w:r>
            <w:r w:rsidR="005A12FD" w:rsidRPr="008917BE">
              <w:rPr>
                <w:lang w:val="sq-AL"/>
              </w:rPr>
              <w:t xml:space="preserve"> neni 43 t</w:t>
            </w:r>
            <w:r w:rsidR="00FE6565">
              <w:rPr>
                <w:lang w:val="sq-AL"/>
              </w:rPr>
              <w:t>ë</w:t>
            </w:r>
            <w:r w:rsidR="005A12FD" w:rsidRPr="008917BE">
              <w:rPr>
                <w:lang w:val="sq-AL"/>
              </w:rPr>
              <w:t xml:space="preserve"> </w:t>
            </w:r>
            <w:r w:rsidR="00FE6565" w:rsidRPr="008917BE">
              <w:rPr>
                <w:lang w:val="sq-AL"/>
              </w:rPr>
              <w:t>riemërtohen</w:t>
            </w:r>
            <w:r w:rsidR="005A12FD" w:rsidRPr="008917BE">
              <w:rPr>
                <w:lang w:val="sq-AL"/>
              </w:rPr>
              <w:t xml:space="preserve"> ato shtojca </w:t>
            </w:r>
            <w:r w:rsidR="00FE6565" w:rsidRPr="008917BE">
              <w:rPr>
                <w:lang w:val="sq-AL"/>
              </w:rPr>
              <w:t>meqenëse</w:t>
            </w:r>
            <w:r w:rsidR="005A12FD" w:rsidRPr="008917BE">
              <w:rPr>
                <w:lang w:val="sq-AL"/>
              </w:rPr>
              <w:t xml:space="preserve"> </w:t>
            </w:r>
            <w:r w:rsidR="00FE6565" w:rsidRPr="008917BE">
              <w:rPr>
                <w:lang w:val="sq-AL"/>
              </w:rPr>
              <w:t>janë</w:t>
            </w:r>
            <w:r w:rsidR="005A12FD" w:rsidRPr="008917BE">
              <w:rPr>
                <w:lang w:val="sq-AL"/>
              </w:rPr>
              <w:t xml:space="preserve"> pjes</w:t>
            </w:r>
            <w:r w:rsidR="00EE2C59">
              <w:rPr>
                <w:lang w:val="sq-AL"/>
              </w:rPr>
              <w:t>ë</w:t>
            </w:r>
            <w:r w:rsidR="005A12FD" w:rsidRPr="008917BE">
              <w:rPr>
                <w:lang w:val="sq-AL"/>
              </w:rPr>
              <w:t xml:space="preserve"> t</w:t>
            </w:r>
            <w:r w:rsidR="00FE6565">
              <w:rPr>
                <w:lang w:val="sq-AL"/>
              </w:rPr>
              <w:t>e</w:t>
            </w:r>
            <w:r w:rsidR="005A12FD" w:rsidRPr="008917BE">
              <w:rPr>
                <w:lang w:val="sq-AL"/>
              </w:rPr>
              <w:t xml:space="preserve"> t</w:t>
            </w:r>
            <w:r w:rsidR="00FE6565">
              <w:rPr>
                <w:lang w:val="sq-AL"/>
              </w:rPr>
              <w:t>ë</w:t>
            </w:r>
            <w:r w:rsidR="005A12FD" w:rsidRPr="008917BE">
              <w:rPr>
                <w:lang w:val="sq-AL"/>
              </w:rPr>
              <w:t xml:space="preserve"> </w:t>
            </w:r>
            <w:r w:rsidR="00FE6565" w:rsidRPr="008917BE">
              <w:rPr>
                <w:lang w:val="sq-AL"/>
              </w:rPr>
              <w:t>njëjtës</w:t>
            </w:r>
            <w:r w:rsidR="005A12FD" w:rsidRPr="008917BE">
              <w:rPr>
                <w:lang w:val="sq-AL"/>
              </w:rPr>
              <w:t xml:space="preserve"> shtojc</w:t>
            </w:r>
            <w:r w:rsidR="00FE6565">
              <w:rPr>
                <w:lang w:val="sq-AL"/>
              </w:rPr>
              <w:t>ë</w:t>
            </w:r>
            <w:r w:rsidR="00CD1A70" w:rsidRPr="008917BE">
              <w:rPr>
                <w:lang w:val="sq-AL"/>
              </w:rPr>
              <w:t>.</w:t>
            </w:r>
          </w:p>
        </w:tc>
      </w:tr>
      <w:tr w:rsidR="003409DD" w:rsidRPr="008917BE" w14:paraId="55E6E3E3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5A2CFF" w14:textId="77777777" w:rsidR="003409DD" w:rsidRPr="008917BE" w:rsidRDefault="003409DD">
            <w:pPr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</w:pP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BB9F0F" w14:textId="77777777" w:rsidR="002D0506" w:rsidRDefault="003409DD">
            <w:pPr>
              <w:rPr>
                <w:lang w:val="sq-AL"/>
              </w:rPr>
            </w:pPr>
            <w:r w:rsidRPr="008917BE">
              <w:rPr>
                <w:lang w:val="sq-AL"/>
              </w:rPr>
              <w:t>Neni 9 dhe 10 duhet t</w:t>
            </w:r>
            <w:r w:rsidR="00FE6565">
              <w:rPr>
                <w:lang w:val="sq-AL"/>
              </w:rPr>
              <w:t>ë</w:t>
            </w:r>
            <w:r w:rsidRPr="008917BE">
              <w:rPr>
                <w:lang w:val="sq-AL"/>
              </w:rPr>
              <w:t xml:space="preserve"> harmonizohen, sepse </w:t>
            </w:r>
            <w:r w:rsidR="00FE6565" w:rsidRPr="008917BE">
              <w:rPr>
                <w:lang w:val="sq-AL"/>
              </w:rPr>
              <w:t>neni</w:t>
            </w:r>
            <w:r w:rsidR="005F3D33" w:rsidRPr="008917BE">
              <w:rPr>
                <w:lang w:val="sq-AL"/>
              </w:rPr>
              <w:t xml:space="preserve"> 8 </w:t>
            </w:r>
            <w:r w:rsidR="00F42B49">
              <w:rPr>
                <w:lang w:val="sq-AL"/>
              </w:rPr>
              <w:t>p</w:t>
            </w:r>
            <w:r w:rsidR="00F42B49" w:rsidRPr="008917BE">
              <w:rPr>
                <w:lang w:val="sq-AL"/>
              </w:rPr>
              <w:t>ë</w:t>
            </w:r>
            <w:r w:rsidR="00F42B49">
              <w:rPr>
                <w:lang w:val="sq-AL"/>
              </w:rPr>
              <w:t>rcakton</w:t>
            </w:r>
            <w:r w:rsidR="005F3D33" w:rsidRPr="008917BE">
              <w:rPr>
                <w:lang w:val="sq-AL"/>
              </w:rPr>
              <w:t xml:space="preserve"> që</w:t>
            </w:r>
            <w:r w:rsidR="002D0506">
              <w:rPr>
                <w:lang w:val="sq-AL"/>
              </w:rPr>
              <w:t>;</w:t>
            </w:r>
            <w:r w:rsidR="005F3D33" w:rsidRPr="008917BE">
              <w:rPr>
                <w:lang w:val="sq-AL"/>
              </w:rPr>
              <w:t xml:space="preserve"> vlera monetare e </w:t>
            </w:r>
            <w:r w:rsidRPr="008917BE">
              <w:rPr>
                <w:lang w:val="sq-AL"/>
              </w:rPr>
              <w:t>koeficienti</w:t>
            </w:r>
            <w:r w:rsidR="005F3D33" w:rsidRPr="008917BE">
              <w:rPr>
                <w:lang w:val="sq-AL"/>
              </w:rPr>
              <w:t xml:space="preserve"> </w:t>
            </w:r>
            <w:r w:rsidR="00FE6565" w:rsidRPr="008917BE">
              <w:rPr>
                <w:lang w:val="sq-AL"/>
              </w:rPr>
              <w:t>përcaktohet</w:t>
            </w:r>
            <w:r w:rsidR="005F3D33" w:rsidRPr="008917BE">
              <w:rPr>
                <w:lang w:val="sq-AL"/>
              </w:rPr>
              <w:t xml:space="preserve"> me ligjin vjetor t</w:t>
            </w:r>
            <w:r w:rsidR="00FE6565">
              <w:rPr>
                <w:lang w:val="sq-AL"/>
              </w:rPr>
              <w:t>ë</w:t>
            </w:r>
            <w:r w:rsidR="005F3D33" w:rsidRPr="008917BE">
              <w:rPr>
                <w:lang w:val="sq-AL"/>
              </w:rPr>
              <w:t xml:space="preserve"> buxhetit</w:t>
            </w:r>
            <w:r w:rsidR="002D0506">
              <w:rPr>
                <w:lang w:val="sq-AL"/>
              </w:rPr>
              <w:t>.</w:t>
            </w:r>
            <w:r w:rsidR="005F3D33" w:rsidRPr="008917BE">
              <w:rPr>
                <w:lang w:val="sq-AL"/>
              </w:rPr>
              <w:t xml:space="preserve"> </w:t>
            </w:r>
            <w:r w:rsidR="002D0506">
              <w:rPr>
                <w:lang w:val="sq-AL"/>
              </w:rPr>
              <w:t>N</w:t>
            </w:r>
            <w:r w:rsidR="00FE6565" w:rsidRPr="008917BE">
              <w:rPr>
                <w:lang w:val="sq-AL"/>
              </w:rPr>
              <w:t>dërsa</w:t>
            </w:r>
            <w:r w:rsidR="005F3D33" w:rsidRPr="008917BE">
              <w:rPr>
                <w:lang w:val="sq-AL"/>
              </w:rPr>
              <w:t xml:space="preserve"> neni 10 </w:t>
            </w:r>
            <w:r w:rsidR="00F42B49">
              <w:rPr>
                <w:lang w:val="sq-AL"/>
              </w:rPr>
              <w:t>përcakton</w:t>
            </w:r>
            <w:r w:rsidR="005F3D33" w:rsidRPr="008917BE">
              <w:rPr>
                <w:lang w:val="sq-AL"/>
              </w:rPr>
              <w:t xml:space="preserve"> që</w:t>
            </w:r>
            <w:r w:rsidR="002D0506">
              <w:rPr>
                <w:lang w:val="sq-AL"/>
              </w:rPr>
              <w:t>;</w:t>
            </w:r>
            <w:r w:rsidR="005F3D33" w:rsidRPr="008917BE">
              <w:rPr>
                <w:lang w:val="sq-AL"/>
              </w:rPr>
              <w:t xml:space="preserve"> </w:t>
            </w:r>
            <w:r w:rsidR="005F3D33" w:rsidRPr="008917BE">
              <w:rPr>
                <w:lang w:val="sq-AL"/>
              </w:rPr>
              <w:t>vlera monetare e koeficienti</w:t>
            </w:r>
            <w:r w:rsidR="005F3D33" w:rsidRPr="008917BE">
              <w:rPr>
                <w:lang w:val="sq-AL"/>
              </w:rPr>
              <w:t xml:space="preserve"> e</w:t>
            </w:r>
            <w:r w:rsidR="005F3D33" w:rsidRPr="008917BE">
              <w:rPr>
                <w:lang w:val="sq-AL"/>
              </w:rPr>
              <w:t xml:space="preserve"> </w:t>
            </w:r>
            <w:r w:rsidR="00FE6565" w:rsidRPr="008917BE">
              <w:rPr>
                <w:lang w:val="sq-AL"/>
              </w:rPr>
              <w:t>përcaktuar</w:t>
            </w:r>
            <w:r w:rsidR="005F3D33" w:rsidRPr="008917BE">
              <w:rPr>
                <w:lang w:val="sq-AL"/>
              </w:rPr>
              <w:t xml:space="preserve"> </w:t>
            </w:r>
            <w:r w:rsidR="005F3D33" w:rsidRPr="008917BE">
              <w:rPr>
                <w:lang w:val="sq-AL"/>
              </w:rPr>
              <w:t xml:space="preserve">sipas </w:t>
            </w:r>
            <w:r w:rsidR="00FE6565" w:rsidRPr="008917BE">
              <w:rPr>
                <w:lang w:val="sq-AL"/>
              </w:rPr>
              <w:t>këtij</w:t>
            </w:r>
            <w:r w:rsidR="005F3D33" w:rsidRPr="008917BE">
              <w:rPr>
                <w:lang w:val="sq-AL"/>
              </w:rPr>
              <w:t xml:space="preserve"> ligji.</w:t>
            </w:r>
            <w:r w:rsidRPr="008917BE">
              <w:rPr>
                <w:lang w:val="sq-AL"/>
              </w:rPr>
              <w:t xml:space="preserve"> </w:t>
            </w:r>
          </w:p>
          <w:p w14:paraId="2C7D16F8" w14:textId="7EC52223" w:rsidR="003409DD" w:rsidRPr="008917BE" w:rsidRDefault="005F3D33">
            <w:pPr>
              <w:rPr>
                <w:lang w:val="sq-AL"/>
              </w:rPr>
            </w:pPr>
            <w:r w:rsidRPr="008917BE">
              <w:rPr>
                <w:lang w:val="sq-AL"/>
              </w:rPr>
              <w:t xml:space="preserve">Pra ky ligj nuk </w:t>
            </w:r>
            <w:r w:rsidR="00FE6565" w:rsidRPr="008917BE">
              <w:rPr>
                <w:lang w:val="sq-AL"/>
              </w:rPr>
              <w:t>përcakton</w:t>
            </w:r>
            <w:r w:rsidRPr="008917BE">
              <w:rPr>
                <w:lang w:val="sq-AL"/>
              </w:rPr>
              <w:t xml:space="preserve"> </w:t>
            </w:r>
            <w:r w:rsidR="00FE6565" w:rsidRPr="008917BE">
              <w:rPr>
                <w:lang w:val="sq-AL"/>
              </w:rPr>
              <w:t>vlerën</w:t>
            </w:r>
            <w:r w:rsidRPr="008917BE">
              <w:rPr>
                <w:lang w:val="sq-AL"/>
              </w:rPr>
              <w:t xml:space="preserve"> monetare.</w:t>
            </w:r>
          </w:p>
        </w:tc>
      </w:tr>
      <w:tr w:rsidR="00CD1A70" w:rsidRPr="008917BE" w14:paraId="0C46F812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C2FCF9" w14:textId="77777777" w:rsidR="00CD1A70" w:rsidRPr="008917BE" w:rsidRDefault="00CD1A70">
            <w:pPr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</w:pP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6F2448" w14:textId="3B392196" w:rsidR="00B74102" w:rsidRPr="0071166D" w:rsidRDefault="009305DA">
            <w:pPr>
              <w:rPr>
                <w:lang w:val="sq-AL"/>
              </w:rPr>
            </w:pPr>
            <w:r w:rsidRPr="007B3D00">
              <w:rPr>
                <w:lang w:val="sq-AL"/>
              </w:rPr>
              <w:t xml:space="preserve">Neni </w:t>
            </w:r>
            <w:r w:rsidR="007B3D00">
              <w:rPr>
                <w:lang w:val="sq-AL"/>
              </w:rPr>
              <w:t>22</w:t>
            </w:r>
            <w:r w:rsidRPr="007B3D00">
              <w:rPr>
                <w:lang w:val="sq-AL"/>
              </w:rPr>
              <w:t xml:space="preserve"> paragrafi </w:t>
            </w:r>
            <w:r w:rsidR="00B74102">
              <w:rPr>
                <w:lang w:val="sq-AL"/>
              </w:rPr>
              <w:t xml:space="preserve">1 i </w:t>
            </w:r>
            <w:r w:rsidR="0071166D">
              <w:rPr>
                <w:lang w:val="sq-AL"/>
              </w:rPr>
              <w:t>përmendë</w:t>
            </w:r>
            <w:r w:rsidR="00B74102">
              <w:rPr>
                <w:lang w:val="sq-AL"/>
              </w:rPr>
              <w:t xml:space="preserve"> “</w:t>
            </w:r>
            <w:r w:rsidR="00B74102" w:rsidRPr="0071166D">
              <w:rPr>
                <w:lang w:val="sq-AL"/>
              </w:rPr>
              <w:t>Shtesat që mund</w:t>
            </w:r>
            <w:r w:rsidR="00F42B49">
              <w:rPr>
                <w:lang w:val="sq-AL"/>
              </w:rPr>
              <w:t xml:space="preserve"> të</w:t>
            </w:r>
            <w:r w:rsidR="00B74102" w:rsidRPr="0071166D">
              <w:rPr>
                <w:lang w:val="sq-AL"/>
              </w:rPr>
              <w:t xml:space="preserve"> përfitohen në bazë të këtij ligji janë</w:t>
            </w:r>
            <w:r w:rsidR="00B74102" w:rsidRPr="0071166D">
              <w:rPr>
                <w:lang w:val="sq-AL"/>
              </w:rPr>
              <w:t>:”</w:t>
            </w:r>
            <w:r w:rsidR="00F42B49">
              <w:rPr>
                <w:lang w:val="sq-AL"/>
              </w:rPr>
              <w:t>,</w:t>
            </w:r>
            <w:r w:rsidR="00B74102" w:rsidRPr="0071166D">
              <w:rPr>
                <w:lang w:val="sq-AL"/>
              </w:rPr>
              <w:t xml:space="preserve"> dhe vazhdon </w:t>
            </w:r>
            <w:r w:rsidR="0071166D">
              <w:rPr>
                <w:lang w:val="sq-AL"/>
              </w:rPr>
              <w:t>i</w:t>
            </w:r>
            <w:r w:rsidR="00B74102" w:rsidRPr="0071166D">
              <w:rPr>
                <w:lang w:val="sq-AL"/>
              </w:rPr>
              <w:t xml:space="preserve"> </w:t>
            </w:r>
            <w:r w:rsidR="0071166D" w:rsidRPr="0071166D">
              <w:rPr>
                <w:lang w:val="sq-AL"/>
              </w:rPr>
              <w:t>përmendë</w:t>
            </w:r>
            <w:r w:rsidR="00B74102" w:rsidRPr="0071166D">
              <w:rPr>
                <w:lang w:val="sq-AL"/>
              </w:rPr>
              <w:t xml:space="preserve"> 10 ll</w:t>
            </w:r>
            <w:r w:rsidR="0071166D">
              <w:rPr>
                <w:lang w:val="sq-AL"/>
              </w:rPr>
              <w:t>o</w:t>
            </w:r>
            <w:r w:rsidR="00B74102" w:rsidRPr="0071166D">
              <w:rPr>
                <w:lang w:val="sq-AL"/>
              </w:rPr>
              <w:t xml:space="preserve">je shtesash, por </w:t>
            </w:r>
            <w:r w:rsidR="0071166D" w:rsidRPr="0071166D">
              <w:rPr>
                <w:lang w:val="sq-AL"/>
              </w:rPr>
              <w:t>nëse</w:t>
            </w:r>
            <w:r w:rsidR="00B74102" w:rsidRPr="0071166D">
              <w:rPr>
                <w:lang w:val="sq-AL"/>
              </w:rPr>
              <w:t xml:space="preserve"> </w:t>
            </w:r>
            <w:r w:rsidR="0071166D">
              <w:rPr>
                <w:lang w:val="sq-AL"/>
              </w:rPr>
              <w:t>i</w:t>
            </w:r>
            <w:r w:rsidR="00B74102" w:rsidRPr="0071166D">
              <w:rPr>
                <w:lang w:val="sq-AL"/>
              </w:rPr>
              <w:t xml:space="preserve"> shohim llojet e shtesave q</w:t>
            </w:r>
            <w:r w:rsidR="0071166D"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jan</w:t>
            </w:r>
            <w:r w:rsidR="0071166D"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</w:t>
            </w:r>
            <w:r w:rsidR="0071166D" w:rsidRPr="0071166D">
              <w:rPr>
                <w:lang w:val="sq-AL"/>
              </w:rPr>
              <w:t>përmendur</w:t>
            </w:r>
            <w:r w:rsidR="00B74102" w:rsidRPr="0071166D">
              <w:rPr>
                <w:lang w:val="sq-AL"/>
              </w:rPr>
              <w:t xml:space="preserve"> me </w:t>
            </w:r>
            <w:r w:rsidR="0071166D" w:rsidRPr="0071166D">
              <w:rPr>
                <w:lang w:val="sq-AL"/>
              </w:rPr>
              <w:t>poshtë</w:t>
            </w:r>
            <w:r w:rsidR="00B74102" w:rsidRPr="0071166D">
              <w:rPr>
                <w:lang w:val="sq-AL"/>
              </w:rPr>
              <w:t xml:space="preserve"> nga neni 2</w:t>
            </w:r>
            <w:r w:rsidR="00144094">
              <w:rPr>
                <w:lang w:val="sq-AL"/>
              </w:rPr>
              <w:t>3</w:t>
            </w:r>
            <w:r w:rsidR="00B74102" w:rsidRPr="0071166D">
              <w:rPr>
                <w:lang w:val="sq-AL"/>
              </w:rPr>
              <w:t xml:space="preserve"> deri 34 </w:t>
            </w:r>
            <w:r w:rsidR="0071166D" w:rsidRPr="0071166D">
              <w:rPr>
                <w:lang w:val="sq-AL"/>
              </w:rPr>
              <w:t>bëjnë</w:t>
            </w:r>
            <w:r w:rsidR="00B74102" w:rsidRPr="0071166D">
              <w:rPr>
                <w:lang w:val="sq-AL"/>
              </w:rPr>
              <w:t xml:space="preserve"> 1</w:t>
            </w:r>
            <w:r w:rsidR="00144094">
              <w:rPr>
                <w:lang w:val="sq-AL"/>
              </w:rPr>
              <w:t>2</w:t>
            </w:r>
            <w:r w:rsidR="00B74102" w:rsidRPr="0071166D">
              <w:rPr>
                <w:lang w:val="sq-AL"/>
              </w:rPr>
              <w:t xml:space="preserve"> lloje shtesash, pra t</w:t>
            </w:r>
            <w:r w:rsidR="0071166D"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harmonizohen.</w:t>
            </w:r>
          </w:p>
          <w:p w14:paraId="5E4C971C" w14:textId="4258E69E" w:rsidR="00B74102" w:rsidRPr="0071166D" w:rsidRDefault="0071166D">
            <w:pPr>
              <w:rPr>
                <w:lang w:val="sq-AL"/>
              </w:rPr>
            </w:pPr>
            <w:r>
              <w:rPr>
                <w:lang w:val="sq-AL"/>
              </w:rPr>
              <w:t>T</w:t>
            </w:r>
            <w:r w:rsidR="00B74102" w:rsidRPr="0071166D">
              <w:rPr>
                <w:lang w:val="sq-AL"/>
              </w:rPr>
              <w:t>ek disa prej shtesave ka kufizime me % t</w:t>
            </w:r>
            <w:r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caktuara n</w:t>
            </w:r>
            <w:r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raport me buxhetin e </w:t>
            </w:r>
            <w:r w:rsidRPr="0071166D">
              <w:rPr>
                <w:lang w:val="sq-AL"/>
              </w:rPr>
              <w:t>organizatës</w:t>
            </w:r>
            <w:r w:rsidR="00B74102" w:rsidRPr="0071166D">
              <w:rPr>
                <w:lang w:val="sq-AL"/>
              </w:rPr>
              <w:t xml:space="preserve"> ose me </w:t>
            </w:r>
            <w:r w:rsidRPr="0071166D">
              <w:rPr>
                <w:lang w:val="sq-AL"/>
              </w:rPr>
              <w:t>pagën</w:t>
            </w:r>
            <w:r w:rsidR="00B74102" w:rsidRPr="0071166D">
              <w:rPr>
                <w:lang w:val="sq-AL"/>
              </w:rPr>
              <w:t xml:space="preserve"> baz</w:t>
            </w:r>
            <w:r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t</w:t>
            </w:r>
            <w:r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</w:t>
            </w:r>
            <w:r w:rsidRPr="0071166D">
              <w:rPr>
                <w:lang w:val="sq-AL"/>
              </w:rPr>
              <w:t>përfituesit</w:t>
            </w:r>
            <w:r w:rsidR="00B74102" w:rsidRPr="0071166D">
              <w:rPr>
                <w:lang w:val="sq-AL"/>
              </w:rPr>
              <w:t>, por jo n</w:t>
            </w:r>
            <w:r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t</w:t>
            </w:r>
            <w:r>
              <w:rPr>
                <w:lang w:val="sq-AL"/>
              </w:rPr>
              <w:t>ë</w:t>
            </w:r>
            <w:r w:rsidR="00B74102" w:rsidRPr="0071166D">
              <w:rPr>
                <w:lang w:val="sq-AL"/>
              </w:rPr>
              <w:t xml:space="preserve"> gjitha </w:t>
            </w:r>
            <w:r>
              <w:rPr>
                <w:lang w:val="sq-AL"/>
              </w:rPr>
              <w:t>r</w:t>
            </w:r>
            <w:r w:rsidR="00B74102" w:rsidRPr="0071166D">
              <w:rPr>
                <w:lang w:val="sq-AL"/>
              </w:rPr>
              <w:t xml:space="preserve">astet </w:t>
            </w:r>
            <w:r w:rsidRPr="0071166D">
              <w:rPr>
                <w:lang w:val="sq-AL"/>
              </w:rPr>
              <w:t>është</w:t>
            </w:r>
            <w:r w:rsidR="00B74102" w:rsidRPr="0071166D">
              <w:rPr>
                <w:lang w:val="sq-AL"/>
              </w:rPr>
              <w:t xml:space="preserve"> </w:t>
            </w:r>
            <w:r w:rsidRPr="0071166D">
              <w:rPr>
                <w:lang w:val="sq-AL"/>
              </w:rPr>
              <w:t>përmendë</w:t>
            </w:r>
            <w:r w:rsidR="00B74102" w:rsidRPr="0071166D">
              <w:rPr>
                <w:lang w:val="sq-AL"/>
              </w:rPr>
              <w:t xml:space="preserve"> njeri apo tjetri kufizim.</w:t>
            </w:r>
          </w:p>
          <w:p w14:paraId="446FB386" w14:textId="20B09934" w:rsidR="00CD1A70" w:rsidRPr="008917BE" w:rsidRDefault="00B74102">
            <w:pPr>
              <w:rPr>
                <w:lang w:val="sq-AL"/>
              </w:rPr>
            </w:pPr>
            <w:r w:rsidRPr="0071166D">
              <w:rPr>
                <w:lang w:val="sq-AL"/>
              </w:rPr>
              <w:t>Po ashtu mendoj q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do t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ishte nevoja t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</w:t>
            </w:r>
            <w:r w:rsidR="0071166D" w:rsidRPr="0071166D">
              <w:rPr>
                <w:lang w:val="sq-AL"/>
              </w:rPr>
              <w:t>përmenden</w:t>
            </w:r>
            <w:r w:rsidRPr="0071166D">
              <w:rPr>
                <w:lang w:val="sq-AL"/>
              </w:rPr>
              <w:t xml:space="preserve"> se</w:t>
            </w:r>
            <w:r w:rsidR="00F42B49">
              <w:rPr>
                <w:lang w:val="sq-AL"/>
              </w:rPr>
              <w:t>:</w:t>
            </w:r>
            <w:r w:rsidRPr="0071166D">
              <w:rPr>
                <w:lang w:val="sq-AL"/>
              </w:rPr>
              <w:t xml:space="preserve"> </w:t>
            </w:r>
            <w:r w:rsidR="0071166D" w:rsidRPr="0071166D">
              <w:rPr>
                <w:lang w:val="sq-AL"/>
              </w:rPr>
              <w:t>Nëse</w:t>
            </w:r>
            <w:r w:rsidRPr="0071166D">
              <w:rPr>
                <w:lang w:val="sq-AL"/>
              </w:rPr>
              <w:t xml:space="preserve"> </w:t>
            </w:r>
            <w:r w:rsidR="0071166D" w:rsidRPr="0071166D">
              <w:rPr>
                <w:lang w:val="sq-AL"/>
              </w:rPr>
              <w:t>ndonjëra</w:t>
            </w:r>
            <w:r w:rsidRPr="0071166D">
              <w:rPr>
                <w:lang w:val="sq-AL"/>
              </w:rPr>
              <w:t xml:space="preserve"> nga shtesat e </w:t>
            </w:r>
            <w:r w:rsidR="0071166D" w:rsidRPr="0071166D">
              <w:rPr>
                <w:lang w:val="sq-AL"/>
              </w:rPr>
              <w:t>përjashton</w:t>
            </w:r>
            <w:r w:rsidRPr="0071166D">
              <w:rPr>
                <w:lang w:val="sq-AL"/>
              </w:rPr>
              <w:t xml:space="preserve"> apo nuk e </w:t>
            </w:r>
            <w:r w:rsidR="0071166D" w:rsidRPr="0071166D">
              <w:rPr>
                <w:lang w:val="sq-AL"/>
              </w:rPr>
              <w:t>përjashton</w:t>
            </w:r>
            <w:r w:rsidRPr="0071166D">
              <w:rPr>
                <w:lang w:val="sq-AL"/>
              </w:rPr>
              <w:t xml:space="preserve"> </w:t>
            </w:r>
            <w:r w:rsidR="0071166D" w:rsidRPr="0071166D">
              <w:rPr>
                <w:lang w:val="sq-AL"/>
              </w:rPr>
              <w:t>tjetrën</w:t>
            </w:r>
            <w:r w:rsidR="002D0506">
              <w:rPr>
                <w:lang w:val="sq-AL"/>
              </w:rPr>
              <w:t xml:space="preserve"> shtesë</w:t>
            </w:r>
            <w:r w:rsidRPr="0071166D">
              <w:rPr>
                <w:lang w:val="sq-AL"/>
              </w:rPr>
              <w:t>, (q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mos</w:t>
            </w:r>
            <w:r w:rsidR="0071166D">
              <w:rPr>
                <w:lang w:val="sq-AL"/>
              </w:rPr>
              <w:t xml:space="preserve"> </w:t>
            </w:r>
            <w:r w:rsidRPr="0071166D">
              <w:rPr>
                <w:lang w:val="sq-AL"/>
              </w:rPr>
              <w:t>t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ket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zbatime t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ndryshme n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nive</w:t>
            </w:r>
            <w:r w:rsidR="0071166D">
              <w:rPr>
                <w:lang w:val="sq-AL"/>
              </w:rPr>
              <w:t>l</w:t>
            </w:r>
            <w:r w:rsidRPr="0071166D">
              <w:rPr>
                <w:lang w:val="sq-AL"/>
              </w:rPr>
              <w:t xml:space="preserve"> t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organizatave t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ndryshme por</w:t>
            </w:r>
            <w:r w:rsidR="0071166D">
              <w:rPr>
                <w:lang w:val="sq-AL"/>
              </w:rPr>
              <w:t xml:space="preserve"> </w:t>
            </w:r>
            <w:r w:rsidRPr="0071166D">
              <w:rPr>
                <w:lang w:val="sq-AL"/>
              </w:rPr>
              <w:t>t</w:t>
            </w:r>
            <w:r w:rsidR="0071166D">
              <w:rPr>
                <w:lang w:val="sq-AL"/>
              </w:rPr>
              <w:t>ë</w:t>
            </w:r>
            <w:r w:rsidRPr="0071166D">
              <w:rPr>
                <w:lang w:val="sq-AL"/>
              </w:rPr>
              <w:t xml:space="preserve"> </w:t>
            </w:r>
            <w:r w:rsidR="0071166D" w:rsidRPr="0071166D">
              <w:rPr>
                <w:lang w:val="sq-AL"/>
              </w:rPr>
              <w:t>këtë</w:t>
            </w:r>
            <w:r w:rsidRPr="0071166D">
              <w:rPr>
                <w:lang w:val="sq-AL"/>
              </w:rPr>
              <w:t xml:space="preserve"> </w:t>
            </w:r>
            <w:r w:rsidR="0071166D" w:rsidRPr="0071166D">
              <w:rPr>
                <w:lang w:val="sq-AL"/>
              </w:rPr>
              <w:t>njëtrajtshmëri</w:t>
            </w:r>
            <w:r w:rsidR="0071166D">
              <w:rPr>
                <w:lang w:val="sq-AL"/>
              </w:rPr>
              <w:t xml:space="preserve"> në zbatim)</w:t>
            </w:r>
            <w:r w:rsidR="0071166D" w:rsidRPr="0071166D">
              <w:rPr>
                <w:lang w:val="sq-AL"/>
              </w:rPr>
              <w:t>.</w:t>
            </w:r>
          </w:p>
        </w:tc>
      </w:tr>
      <w:tr w:rsidR="006E0A36" w:rsidRPr="008917BE" w14:paraId="22FE4311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8AE182" w14:textId="77777777" w:rsidR="006E0A36" w:rsidRPr="008917BE" w:rsidRDefault="006E0A36">
            <w:pPr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</w:pP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FA14D6" w14:textId="0300DAFD" w:rsidR="006E0A36" w:rsidRDefault="006E0A36">
            <w:pPr>
              <w:rPr>
                <w:lang w:val="sq-AL"/>
              </w:rPr>
            </w:pPr>
            <w:r>
              <w:rPr>
                <w:lang w:val="sq-AL"/>
              </w:rPr>
              <w:t xml:space="preserve">Te neni 43 paragrafi 2 duhet të rregullohet, se në shtojcën 14 – pozitat tjera, ka edhe rregullime për institucionet kushtetuese që e kanë të garantuar pavarësinë </w:t>
            </w:r>
            <w:r w:rsidR="002D0506">
              <w:rPr>
                <w:lang w:val="sq-AL"/>
              </w:rPr>
              <w:t xml:space="preserve">funksionale </w:t>
            </w:r>
            <w:r>
              <w:rPr>
                <w:lang w:val="sq-AL"/>
              </w:rPr>
              <w:t xml:space="preserve">dhe ndarjen e </w:t>
            </w:r>
            <w:r>
              <w:rPr>
                <w:lang w:val="sq-AL"/>
              </w:rPr>
              <w:lastRenderedPageBreak/>
              <w:t>pushteteve nga ekzekutivi, kjo mund t</w:t>
            </w:r>
            <w:r w:rsidR="00EE2C59">
              <w:rPr>
                <w:lang w:val="sq-AL"/>
              </w:rPr>
              <w:t>ë</w:t>
            </w:r>
            <w:r>
              <w:rPr>
                <w:lang w:val="sq-AL"/>
              </w:rPr>
              <w:t xml:space="preserve"> jet</w:t>
            </w:r>
            <w:r w:rsidR="00EE2C59">
              <w:rPr>
                <w:lang w:val="sq-AL"/>
              </w:rPr>
              <w:t>ë</w:t>
            </w:r>
            <w:r>
              <w:rPr>
                <w:lang w:val="sq-AL"/>
              </w:rPr>
              <w:t xml:space="preserve"> jo n</w:t>
            </w:r>
            <w:r w:rsidR="00EE2C59">
              <w:rPr>
                <w:lang w:val="sq-AL"/>
              </w:rPr>
              <w:t>ë</w:t>
            </w:r>
            <w:r>
              <w:rPr>
                <w:lang w:val="sq-AL"/>
              </w:rPr>
              <w:t xml:space="preserve"> pajtim me vendimet e Gjykatës Kushtetuese.</w:t>
            </w:r>
            <w:r w:rsidR="002D0506">
              <w:rPr>
                <w:lang w:val="sq-AL"/>
              </w:rPr>
              <w:t xml:space="preserve"> Të harmonizohet</w:t>
            </w:r>
            <w:r w:rsidR="007665A4">
              <w:rPr>
                <w:lang w:val="sq-AL"/>
              </w:rPr>
              <w:t>.</w:t>
            </w:r>
          </w:p>
        </w:tc>
      </w:tr>
      <w:tr w:rsidR="006E0A36" w:rsidRPr="008917BE" w14:paraId="35B0C715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F79B4B" w14:textId="77777777" w:rsidR="006E0A36" w:rsidRPr="008917BE" w:rsidRDefault="006E0A36" w:rsidP="006E0A36">
            <w:pPr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</w:pP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0D5633" w14:textId="492ECDD3" w:rsidR="006E0A36" w:rsidRDefault="006E0A36" w:rsidP="006E0A36">
            <w:pPr>
              <w:rPr>
                <w:lang w:val="sq-AL"/>
              </w:rPr>
            </w:pPr>
            <w:r>
              <w:rPr>
                <w:lang w:val="sq-AL"/>
              </w:rPr>
              <w:t>Për koeficientet dua t’ju tërheq vëmendjen se, kështu siç janë</w:t>
            </w:r>
            <w:r w:rsidR="00EE2C59">
              <w:rPr>
                <w:lang w:val="sq-AL"/>
              </w:rPr>
              <w:t>,</w:t>
            </w:r>
            <w:r>
              <w:rPr>
                <w:lang w:val="sq-AL"/>
              </w:rPr>
              <w:t xml:space="preserve"> ka gjasa që të rrezohet nga Gjykata Kushtetuese, përderisa bartësit</w:t>
            </w:r>
            <w:r w:rsidR="00EE2C59">
              <w:rPr>
                <w:lang w:val="sq-AL"/>
              </w:rPr>
              <w:t xml:space="preserve"> dhe punonjësit </w:t>
            </w:r>
            <w:r>
              <w:rPr>
                <w:lang w:val="sq-AL"/>
              </w:rPr>
              <w:t xml:space="preserve">e institucioneve kushtetuese janë me të ulët sesa ato </w:t>
            </w:r>
            <w:r w:rsidR="00EE2C59">
              <w:rPr>
                <w:lang w:val="sq-AL"/>
              </w:rPr>
              <w:t>n</w:t>
            </w:r>
            <w:r>
              <w:rPr>
                <w:lang w:val="sq-AL"/>
              </w:rPr>
              <w:t>ë institucione</w:t>
            </w:r>
            <w:r w:rsidR="00EE2C59">
              <w:rPr>
                <w:lang w:val="sq-AL"/>
              </w:rPr>
              <w:t>t</w:t>
            </w:r>
            <w:r>
              <w:rPr>
                <w:lang w:val="sq-AL"/>
              </w:rPr>
              <w:t xml:space="preserve"> dhe agjenci</w:t>
            </w:r>
            <w:r w:rsidR="00EE2C59">
              <w:rPr>
                <w:lang w:val="sq-AL"/>
              </w:rPr>
              <w:t>të</w:t>
            </w:r>
            <w:r>
              <w:rPr>
                <w:lang w:val="sq-AL"/>
              </w:rPr>
              <w:t xml:space="preserve"> në ekzekutiv. Pra duhet të rirregullohen koeficientet për të punësuarit në institucionet kushtetuese dhe atë në frymën e aktgjykimit KO/219/19 të Gjykatës Kushtetuese, dhe atë të paragrafit 88 të aktgjykimit KO73/16.</w:t>
            </w:r>
          </w:p>
        </w:tc>
      </w:tr>
      <w:tr w:rsidR="006E0A36" w:rsidRPr="008917BE" w14:paraId="70A529D1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083333" w14:textId="77777777" w:rsidR="006E0A36" w:rsidRPr="008917BE" w:rsidRDefault="006E0A36" w:rsidP="006E0A36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Personi kontaktues </w:t>
            </w: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A10E0F" w14:textId="0504A7B1" w:rsidR="006E0A36" w:rsidRPr="008917BE" w:rsidRDefault="006E0A36" w:rsidP="006E0A36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Enver Boqolli   </w:t>
            </w:r>
          </w:p>
        </w:tc>
      </w:tr>
      <w:tr w:rsidR="006E0A36" w:rsidRPr="008917BE" w14:paraId="1796F91E" w14:textId="77777777" w:rsidTr="006E0A36">
        <w:tc>
          <w:tcPr>
            <w:tcW w:w="3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422500" w14:textId="46A5BE36" w:rsidR="006E0A36" w:rsidRPr="008917BE" w:rsidRDefault="006E0A36" w:rsidP="006E0A36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E</w:t>
            </w:r>
            <w:r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-</w:t>
            </w:r>
            <w:proofErr w:type="spellStart"/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mail</w:t>
            </w:r>
            <w:proofErr w:type="spellEnd"/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 xml:space="preserve"> kontaktues </w:t>
            </w:r>
          </w:p>
        </w:tc>
        <w:tc>
          <w:tcPr>
            <w:tcW w:w="57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921E09" w14:textId="4D1D312B" w:rsidR="006E0A36" w:rsidRPr="008917BE" w:rsidRDefault="006E0A36" w:rsidP="006E0A36">
            <w:pPr>
              <w:rPr>
                <w:lang w:val="sq-AL"/>
              </w:rPr>
            </w:pP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E</w:t>
            </w:r>
            <w:r w:rsidR="0096291F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_</w:t>
            </w:r>
            <w:r w:rsidRPr="008917BE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boqolli@</w:t>
            </w:r>
            <w:r w:rsidR="0096291F">
              <w:rPr>
                <w:rFonts w:ascii="Cambria (Headings)" w:hAnsi="Cambria (Headings)" w:cs="Cambria (Headings)"/>
                <w:sz w:val="22"/>
                <w:szCs w:val="22"/>
                <w:lang w:val="sq-AL"/>
              </w:rPr>
              <w:t>hotmail.com</w:t>
            </w:r>
          </w:p>
        </w:tc>
      </w:tr>
    </w:tbl>
    <w:p w14:paraId="15DFB012" w14:textId="77777777" w:rsidR="00C06128" w:rsidRPr="008917BE" w:rsidRDefault="00C06128">
      <w:pPr>
        <w:rPr>
          <w:lang w:val="sq-AL"/>
        </w:rPr>
      </w:pPr>
    </w:p>
    <w:p w14:paraId="34E41938" w14:textId="2857AD72" w:rsidR="00C06128" w:rsidRPr="008917BE" w:rsidRDefault="00000000" w:rsidP="008917BE">
      <w:pPr>
        <w:spacing w:before="1" w:after="1"/>
        <w:rPr>
          <w:lang w:val="sq-AL"/>
        </w:rPr>
      </w:pPr>
      <w:r w:rsidRPr="008917BE">
        <w:rPr>
          <w:rFonts w:ascii="Cambria (Headings)" w:hAnsi="Cambria (Headings)" w:cs="Cambria (Headings)"/>
          <w:sz w:val="22"/>
          <w:szCs w:val="22"/>
          <w:lang w:val="sq-AL"/>
        </w:rPr>
        <w:t xml:space="preserve">Ky konsultim publik nuk </w:t>
      </w:r>
      <w:r w:rsidR="00074CE7" w:rsidRPr="008917BE">
        <w:rPr>
          <w:rFonts w:ascii="Cambria (Headings)" w:hAnsi="Cambria (Headings)" w:cs="Cambria (Headings)"/>
          <w:sz w:val="22"/>
          <w:szCs w:val="22"/>
          <w:lang w:val="sq-AL"/>
        </w:rPr>
        <w:t>përmban</w:t>
      </w:r>
      <w:r w:rsidRPr="008917BE">
        <w:rPr>
          <w:rFonts w:ascii="Cambria (Headings)" w:hAnsi="Cambria (Headings)" w:cs="Cambria (Headings)"/>
          <w:sz w:val="22"/>
          <w:szCs w:val="22"/>
          <w:lang w:val="sq-AL"/>
        </w:rPr>
        <w:t xml:space="preserve"> dokumente shtesë</w:t>
      </w:r>
    </w:p>
    <w:sectPr w:rsidR="00C06128" w:rsidRPr="008917BE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Headings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96315932">
    <w:abstractNumId w:val="6"/>
  </w:num>
  <w:num w:numId="2" w16cid:durableId="861018648">
    <w:abstractNumId w:val="4"/>
  </w:num>
  <w:num w:numId="3" w16cid:durableId="45640925">
    <w:abstractNumId w:val="3"/>
  </w:num>
  <w:num w:numId="4" w16cid:durableId="1940063702">
    <w:abstractNumId w:val="7"/>
  </w:num>
  <w:num w:numId="5" w16cid:durableId="1249315833">
    <w:abstractNumId w:val="5"/>
  </w:num>
  <w:num w:numId="6" w16cid:durableId="1816531176">
    <w:abstractNumId w:val="8"/>
  </w:num>
  <w:num w:numId="7" w16cid:durableId="2051220246">
    <w:abstractNumId w:val="1"/>
  </w:num>
  <w:num w:numId="8" w16cid:durableId="878206240">
    <w:abstractNumId w:val="2"/>
  </w:num>
  <w:num w:numId="9" w16cid:durableId="10500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28"/>
    <w:rsid w:val="00074CE7"/>
    <w:rsid w:val="00144094"/>
    <w:rsid w:val="001E1EAA"/>
    <w:rsid w:val="001F72BA"/>
    <w:rsid w:val="00231D0F"/>
    <w:rsid w:val="002D0506"/>
    <w:rsid w:val="003409DD"/>
    <w:rsid w:val="00342879"/>
    <w:rsid w:val="0041152D"/>
    <w:rsid w:val="004B576D"/>
    <w:rsid w:val="004E4824"/>
    <w:rsid w:val="004F626C"/>
    <w:rsid w:val="005A12FD"/>
    <w:rsid w:val="005F3D33"/>
    <w:rsid w:val="006E0A36"/>
    <w:rsid w:val="0071166D"/>
    <w:rsid w:val="007665A4"/>
    <w:rsid w:val="007B3D00"/>
    <w:rsid w:val="00847478"/>
    <w:rsid w:val="008917BE"/>
    <w:rsid w:val="009305DA"/>
    <w:rsid w:val="0096291F"/>
    <w:rsid w:val="00973D3A"/>
    <w:rsid w:val="0099518F"/>
    <w:rsid w:val="00A945FB"/>
    <w:rsid w:val="00B74102"/>
    <w:rsid w:val="00C06128"/>
    <w:rsid w:val="00CD1A70"/>
    <w:rsid w:val="00E12B05"/>
    <w:rsid w:val="00E30E20"/>
    <w:rsid w:val="00EE2C59"/>
    <w:rsid w:val="00F42B49"/>
    <w:rsid w:val="00FA6E04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50AEF"/>
  <w15:docId w15:val="{BD2DCD42-733A-4045-9BD6-15632711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Boqolli</dc:creator>
  <cp:keywords/>
  <dc:description/>
  <cp:lastModifiedBy>Enver Boqolli</cp:lastModifiedBy>
  <cp:revision>6</cp:revision>
  <dcterms:created xsi:type="dcterms:W3CDTF">2022-09-19T09:29:00Z</dcterms:created>
  <dcterms:modified xsi:type="dcterms:W3CDTF">2022-09-20T13:52:00Z</dcterms:modified>
  <cp:category/>
</cp:coreProperties>
</file>