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37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  <w:gridCol w:w="4131"/>
      </w:tblGrid>
      <w:tr w:rsidR="00F7358E" w:rsidRPr="000D2840" w14:paraId="10D5DD02" w14:textId="77777777" w:rsidTr="000914C9">
        <w:tc>
          <w:tcPr>
            <w:tcW w:w="5080" w:type="dxa"/>
            <w:vAlign w:val="center"/>
          </w:tcPr>
          <w:p w14:paraId="28341043" w14:textId="77777777" w:rsidR="00F7358E" w:rsidRPr="000D2840" w:rsidRDefault="00F7358E" w:rsidP="000914C9">
            <w:pPr>
              <w:jc w:val="center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70609B60" w14:textId="77777777" w:rsidR="00F7358E" w:rsidRPr="000D2840" w:rsidRDefault="00F7358E" w:rsidP="000914C9">
            <w:pPr>
              <w:jc w:val="center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D2840">
              <w:rPr>
                <w:rFonts w:ascii="Times New Roman" w:hAnsi="Times New Roman" w:cs="Times New Roman"/>
                <w:b/>
                <w:bCs/>
                <w:lang w:val="sq-AL"/>
              </w:rPr>
              <w:t>Drafti i MSH</w:t>
            </w:r>
          </w:p>
          <w:p w14:paraId="4535A531" w14:textId="77777777" w:rsidR="00F7358E" w:rsidRPr="000D2840" w:rsidRDefault="00F7358E" w:rsidP="000914C9">
            <w:pPr>
              <w:jc w:val="center"/>
              <w:rPr>
                <w:rFonts w:ascii="Times New Roman" w:hAnsi="Times New Roman" w:cs="Times New Roman"/>
                <w:b/>
                <w:bCs/>
                <w:color w:val="7F7F7F" w:themeColor="text1" w:themeTint="80"/>
                <w:lang w:val="sq-AL"/>
              </w:rPr>
            </w:pPr>
          </w:p>
        </w:tc>
        <w:tc>
          <w:tcPr>
            <w:tcW w:w="5126" w:type="dxa"/>
            <w:shd w:val="clear" w:color="auto" w:fill="E2EFD9" w:themeFill="accent6" w:themeFillTint="33"/>
            <w:vAlign w:val="center"/>
          </w:tcPr>
          <w:p w14:paraId="360F1142" w14:textId="77777777" w:rsidR="00F7358E" w:rsidRPr="000D2840" w:rsidRDefault="00F7358E" w:rsidP="000914C9">
            <w:pPr>
              <w:jc w:val="center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D2840">
              <w:rPr>
                <w:rFonts w:ascii="Times New Roman" w:hAnsi="Times New Roman" w:cs="Times New Roman"/>
                <w:b/>
                <w:bCs/>
                <w:lang w:val="sq-AL"/>
              </w:rPr>
              <w:t>Propozimet e OFK</w:t>
            </w:r>
          </w:p>
        </w:tc>
        <w:tc>
          <w:tcPr>
            <w:tcW w:w="4131" w:type="dxa"/>
            <w:vAlign w:val="center"/>
          </w:tcPr>
          <w:p w14:paraId="7B15DD40" w14:textId="2B41209C" w:rsidR="00F7358E" w:rsidRPr="000D2840" w:rsidRDefault="00EB3802" w:rsidP="000914C9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sq-AL"/>
              </w:rPr>
              <w:t xml:space="preserve">Arsyetim </w:t>
            </w:r>
          </w:p>
        </w:tc>
      </w:tr>
      <w:tr w:rsidR="00F7358E" w:rsidRPr="000D2840" w14:paraId="4E03EF60" w14:textId="77777777" w:rsidTr="000914C9">
        <w:tc>
          <w:tcPr>
            <w:tcW w:w="5080" w:type="dxa"/>
          </w:tcPr>
          <w:p w14:paraId="778C59D5" w14:textId="77777777" w:rsidR="00F7358E" w:rsidRPr="000D2840" w:rsidRDefault="00F7358E" w:rsidP="000914C9">
            <w:pPr>
              <w:tabs>
                <w:tab w:val="left" w:pos="5250"/>
                <w:tab w:val="center" w:pos="6480"/>
              </w:tabs>
              <w:autoSpaceDE w:val="0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</w:p>
          <w:p w14:paraId="5E5F44DA" w14:textId="77777777" w:rsidR="00F7358E" w:rsidRPr="000D2840" w:rsidRDefault="00F7358E" w:rsidP="000914C9">
            <w:pPr>
              <w:tabs>
                <w:tab w:val="left" w:pos="5250"/>
                <w:tab w:val="center" w:pos="6480"/>
              </w:tabs>
              <w:autoSpaceDE w:val="0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0D284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Ministria e Shëndetësisë</w:t>
            </w:r>
          </w:p>
          <w:p w14:paraId="07E13E6F" w14:textId="77777777" w:rsidR="00F7358E" w:rsidRPr="000D2840" w:rsidRDefault="00F7358E" w:rsidP="000914C9">
            <w:pPr>
              <w:jc w:val="center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5126" w:type="dxa"/>
            <w:shd w:val="clear" w:color="auto" w:fill="E2EFD9" w:themeFill="accent6" w:themeFillTint="33"/>
            <w:vAlign w:val="center"/>
          </w:tcPr>
          <w:p w14:paraId="6724D6A1" w14:textId="77777777" w:rsidR="00F7358E" w:rsidRPr="000D2840" w:rsidRDefault="00F7358E" w:rsidP="000914C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q-AL"/>
              </w:rPr>
            </w:pPr>
            <w:r w:rsidRPr="000D284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q-AL"/>
              </w:rPr>
              <w:t>Oda e Farmacistëve të Kosovës</w:t>
            </w:r>
          </w:p>
        </w:tc>
        <w:tc>
          <w:tcPr>
            <w:tcW w:w="4131" w:type="dxa"/>
            <w:vAlign w:val="center"/>
          </w:tcPr>
          <w:p w14:paraId="0B4AC212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i/>
                <w:lang w:val="sq-AL"/>
              </w:rPr>
            </w:pPr>
          </w:p>
        </w:tc>
      </w:tr>
      <w:tr w:rsidR="00F7358E" w:rsidRPr="000D2840" w14:paraId="3013BC66" w14:textId="77777777" w:rsidTr="000914C9">
        <w:tc>
          <w:tcPr>
            <w:tcW w:w="5080" w:type="dxa"/>
            <w:vAlign w:val="center"/>
          </w:tcPr>
          <w:p w14:paraId="0803109E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78A12F99" w14:textId="77777777" w:rsidR="00F7358E" w:rsidRPr="000D2840" w:rsidRDefault="00F7358E" w:rsidP="000914C9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sq-AL"/>
              </w:rPr>
            </w:pPr>
            <w:r w:rsidRPr="000D2840">
              <w:rPr>
                <w:rFonts w:ascii="Times New Roman" w:hAnsi="Times New Roman" w:cs="Times New Roman"/>
                <w:b/>
                <w:bCs/>
                <w:lang w:val="sq-AL"/>
              </w:rPr>
              <w:t>PROJEKTLIGJI PËR ÇMIMIN E PRODUKTEVE MEDICINALE</w:t>
            </w:r>
          </w:p>
        </w:tc>
        <w:tc>
          <w:tcPr>
            <w:tcW w:w="5126" w:type="dxa"/>
            <w:shd w:val="clear" w:color="auto" w:fill="E2EFD9" w:themeFill="accent6" w:themeFillTint="33"/>
            <w:vAlign w:val="center"/>
          </w:tcPr>
          <w:p w14:paraId="5AABF53E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4131" w:type="dxa"/>
            <w:vAlign w:val="center"/>
          </w:tcPr>
          <w:p w14:paraId="11EC44B0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i/>
                <w:lang w:val="sq-AL"/>
              </w:rPr>
            </w:pPr>
          </w:p>
        </w:tc>
      </w:tr>
      <w:tr w:rsidR="00F7358E" w:rsidRPr="000D2840" w14:paraId="199A2562" w14:textId="77777777" w:rsidTr="000914C9">
        <w:tc>
          <w:tcPr>
            <w:tcW w:w="5080" w:type="dxa"/>
            <w:vAlign w:val="center"/>
          </w:tcPr>
          <w:p w14:paraId="002F7232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5126" w:type="dxa"/>
            <w:shd w:val="clear" w:color="auto" w:fill="E2EFD9" w:themeFill="accent6" w:themeFillTint="33"/>
            <w:vAlign w:val="center"/>
          </w:tcPr>
          <w:p w14:paraId="373C932C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4131" w:type="dxa"/>
            <w:vAlign w:val="center"/>
          </w:tcPr>
          <w:p w14:paraId="29E6E2DE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i/>
                <w:lang w:val="sq-AL"/>
              </w:rPr>
            </w:pPr>
          </w:p>
        </w:tc>
      </w:tr>
      <w:tr w:rsidR="00F7358E" w:rsidRPr="000D2840" w14:paraId="17E4467C" w14:textId="77777777" w:rsidTr="000914C9">
        <w:tc>
          <w:tcPr>
            <w:tcW w:w="5080" w:type="dxa"/>
            <w:vAlign w:val="center"/>
          </w:tcPr>
          <w:p w14:paraId="4998E60F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color w:val="000000"/>
                <w:lang w:val="sq-AL"/>
              </w:rPr>
            </w:pPr>
            <w:r w:rsidRPr="000D2840">
              <w:rPr>
                <w:rFonts w:ascii="Times New Roman" w:hAnsi="Times New Roman" w:cs="Times New Roman"/>
                <w:b/>
                <w:color w:val="000000"/>
                <w:lang w:val="sq-AL"/>
              </w:rPr>
              <w:t xml:space="preserve">                                   Neni 11</w:t>
            </w:r>
          </w:p>
          <w:p w14:paraId="09BEB5E7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color w:val="000000"/>
                <w:lang w:val="sq-AL"/>
              </w:rPr>
            </w:pPr>
            <w:r w:rsidRPr="000D2840">
              <w:rPr>
                <w:rFonts w:ascii="Times New Roman" w:hAnsi="Times New Roman" w:cs="Times New Roman"/>
                <w:b/>
                <w:color w:val="000000"/>
                <w:lang w:val="sq-AL"/>
              </w:rPr>
              <w:t xml:space="preserve">             Kalkulimi i çmimeve me pakicë</w:t>
            </w:r>
          </w:p>
          <w:p w14:paraId="74551A55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color w:val="7F7F7F" w:themeColor="text1" w:themeTint="80"/>
                <w:lang w:val="sq-AL"/>
              </w:rPr>
            </w:pPr>
          </w:p>
        </w:tc>
        <w:tc>
          <w:tcPr>
            <w:tcW w:w="5126" w:type="dxa"/>
            <w:shd w:val="clear" w:color="auto" w:fill="E2EFD9" w:themeFill="accent6" w:themeFillTint="33"/>
            <w:vAlign w:val="center"/>
          </w:tcPr>
          <w:p w14:paraId="7FE030A7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color w:val="000000"/>
                <w:lang w:val="sq-AL"/>
              </w:rPr>
            </w:pPr>
            <w:r w:rsidRPr="000D2840">
              <w:rPr>
                <w:rFonts w:ascii="Times New Roman" w:hAnsi="Times New Roman" w:cs="Times New Roman"/>
                <w:b/>
                <w:color w:val="000000"/>
                <w:lang w:val="sq-AL"/>
              </w:rPr>
              <w:t xml:space="preserve">                                   Neni 11</w:t>
            </w:r>
          </w:p>
          <w:p w14:paraId="56B76795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color w:val="000000"/>
                <w:lang w:val="sq-AL"/>
              </w:rPr>
            </w:pPr>
            <w:r w:rsidRPr="000D2840">
              <w:rPr>
                <w:rFonts w:ascii="Times New Roman" w:hAnsi="Times New Roman" w:cs="Times New Roman"/>
                <w:b/>
                <w:color w:val="000000"/>
                <w:lang w:val="sq-AL"/>
              </w:rPr>
              <w:t xml:space="preserve">             Kalkulimi i çmimeve me pakicë</w:t>
            </w:r>
          </w:p>
          <w:p w14:paraId="550DB524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4131" w:type="dxa"/>
            <w:vAlign w:val="center"/>
          </w:tcPr>
          <w:p w14:paraId="09EB0325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i/>
                <w:lang w:val="sq-AL"/>
              </w:rPr>
            </w:pPr>
          </w:p>
        </w:tc>
      </w:tr>
      <w:tr w:rsidR="00F7358E" w:rsidRPr="000D2840" w14:paraId="79483CD5" w14:textId="77777777" w:rsidTr="000914C9">
        <w:tc>
          <w:tcPr>
            <w:tcW w:w="5080" w:type="dxa"/>
            <w:vAlign w:val="center"/>
          </w:tcPr>
          <w:p w14:paraId="2B70C4B0" w14:textId="77777777" w:rsidR="00F7358E" w:rsidRPr="000D2840" w:rsidRDefault="00F7358E" w:rsidP="00F7358E">
            <w:pPr>
              <w:pStyle w:val="ListParagraph"/>
              <w:numPr>
                <w:ilvl w:val="0"/>
                <w:numId w:val="1"/>
              </w:numPr>
              <w:ind w:left="285" w:hanging="285"/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0D2840">
              <w:rPr>
                <w:rFonts w:ascii="Times New Roman" w:hAnsi="Times New Roman" w:cs="Times New Roman"/>
                <w:color w:val="000000"/>
                <w:lang w:val="sq-AL"/>
              </w:rPr>
              <w:t>Komisioni për çmimet e produkteve medicinale përcakton çmimin e qarkullimit me pakicë nga qarkulluesit me pakicë dhe shumicë të produkteve medicinale.</w:t>
            </w:r>
          </w:p>
          <w:p w14:paraId="20364BE9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color w:val="7F7F7F" w:themeColor="text1" w:themeTint="80"/>
                <w:lang w:val="sq-AL"/>
              </w:rPr>
            </w:pPr>
          </w:p>
        </w:tc>
        <w:tc>
          <w:tcPr>
            <w:tcW w:w="5126" w:type="dxa"/>
            <w:shd w:val="clear" w:color="auto" w:fill="E2EFD9" w:themeFill="accent6" w:themeFillTint="33"/>
            <w:vAlign w:val="center"/>
          </w:tcPr>
          <w:p w14:paraId="5E0AF76B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4131" w:type="dxa"/>
            <w:vAlign w:val="center"/>
          </w:tcPr>
          <w:p w14:paraId="65C2B28A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i/>
                <w:lang w:val="sq-AL"/>
              </w:rPr>
            </w:pPr>
          </w:p>
        </w:tc>
      </w:tr>
      <w:tr w:rsidR="00F7358E" w:rsidRPr="000D2840" w14:paraId="5F6109E7" w14:textId="77777777" w:rsidTr="000914C9">
        <w:tc>
          <w:tcPr>
            <w:tcW w:w="5080" w:type="dxa"/>
            <w:vAlign w:val="center"/>
          </w:tcPr>
          <w:p w14:paraId="6352BC60" w14:textId="77777777" w:rsidR="00F7358E" w:rsidRPr="000D2840" w:rsidRDefault="00F7358E" w:rsidP="00F7358E">
            <w:pPr>
              <w:pStyle w:val="ListParagraph"/>
              <w:numPr>
                <w:ilvl w:val="0"/>
                <w:numId w:val="1"/>
              </w:numPr>
              <w:ind w:left="285" w:hanging="285"/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0D2840">
              <w:rPr>
                <w:rFonts w:ascii="Times New Roman" w:hAnsi="Times New Roman" w:cs="Times New Roman"/>
                <w:color w:val="000000"/>
                <w:lang w:val="sq-AL"/>
              </w:rPr>
              <w:t>Bazë për përcaktimin e shitjes me pakicë do të jetë çmimi me shumicë i produkteve medicinale i përcaktuar me nenin 8.</w:t>
            </w:r>
          </w:p>
          <w:p w14:paraId="78119899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Cs/>
                <w:color w:val="7F7F7F" w:themeColor="text1" w:themeTint="80"/>
                <w:lang w:val="sq-AL"/>
              </w:rPr>
            </w:pPr>
          </w:p>
        </w:tc>
        <w:tc>
          <w:tcPr>
            <w:tcW w:w="5126" w:type="dxa"/>
            <w:shd w:val="clear" w:color="auto" w:fill="E2EFD9" w:themeFill="accent6" w:themeFillTint="33"/>
            <w:vAlign w:val="center"/>
          </w:tcPr>
          <w:p w14:paraId="56180ABC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4131" w:type="dxa"/>
            <w:vAlign w:val="center"/>
          </w:tcPr>
          <w:p w14:paraId="7360B086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i/>
                <w:lang w:val="sq-AL"/>
              </w:rPr>
            </w:pPr>
          </w:p>
        </w:tc>
      </w:tr>
      <w:tr w:rsidR="00F7358E" w:rsidRPr="000D2840" w14:paraId="1D64A3B4" w14:textId="77777777" w:rsidTr="000914C9">
        <w:tc>
          <w:tcPr>
            <w:tcW w:w="5080" w:type="dxa"/>
            <w:vAlign w:val="center"/>
          </w:tcPr>
          <w:p w14:paraId="28C5BB43" w14:textId="77777777" w:rsidR="00F7358E" w:rsidRPr="000D2840" w:rsidRDefault="00F7358E" w:rsidP="00F7358E">
            <w:pPr>
              <w:pStyle w:val="ListParagraph"/>
              <w:numPr>
                <w:ilvl w:val="0"/>
                <w:numId w:val="1"/>
              </w:numPr>
              <w:ind w:left="285" w:hanging="285"/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0D2840">
              <w:rPr>
                <w:rFonts w:ascii="Times New Roman" w:hAnsi="Times New Roman" w:cs="Times New Roman"/>
                <w:color w:val="000000"/>
                <w:lang w:val="sq-AL"/>
              </w:rPr>
              <w:t>Për përcaktimin e çmimit me pakicë të produktit medicinal, çmimit me shumicë të produktit medicinal i shtohet marzha e fitimit të përcaktuar me paragrafin 4.</w:t>
            </w:r>
          </w:p>
          <w:p w14:paraId="44ADB2BC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</w:p>
        </w:tc>
        <w:tc>
          <w:tcPr>
            <w:tcW w:w="5126" w:type="dxa"/>
            <w:shd w:val="clear" w:color="auto" w:fill="E2EFD9" w:themeFill="accent6" w:themeFillTint="33"/>
            <w:vAlign w:val="center"/>
          </w:tcPr>
          <w:p w14:paraId="56AEB561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4131" w:type="dxa"/>
            <w:vAlign w:val="center"/>
          </w:tcPr>
          <w:p w14:paraId="07713756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i/>
                <w:lang w:val="sq-AL"/>
              </w:rPr>
            </w:pPr>
          </w:p>
        </w:tc>
      </w:tr>
      <w:tr w:rsidR="00F7358E" w:rsidRPr="000D2840" w14:paraId="760F4A5F" w14:textId="77777777" w:rsidTr="000914C9">
        <w:tc>
          <w:tcPr>
            <w:tcW w:w="5080" w:type="dxa"/>
            <w:vAlign w:val="center"/>
          </w:tcPr>
          <w:p w14:paraId="38E8F27A" w14:textId="77777777" w:rsidR="00F7358E" w:rsidRPr="00EB3802" w:rsidRDefault="00F7358E" w:rsidP="00F7358E">
            <w:pPr>
              <w:pStyle w:val="ListParagraph"/>
              <w:numPr>
                <w:ilvl w:val="0"/>
                <w:numId w:val="1"/>
              </w:numPr>
              <w:ind w:left="285" w:hanging="285"/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EB3802">
              <w:rPr>
                <w:rFonts w:ascii="Times New Roman" w:hAnsi="Times New Roman" w:cs="Times New Roman"/>
                <w:color w:val="000000"/>
                <w:lang w:val="sq-AL"/>
              </w:rPr>
              <w:t>Komisioni për çmimet e produkteve medicinale do të shtojë në çmimin me shumicë, një marzhë fitimi me pakicë për qarkulluesit e licencuar me pakicë si më poshtë:</w:t>
            </w:r>
          </w:p>
          <w:p w14:paraId="5BAB141A" w14:textId="77777777" w:rsidR="00F7358E" w:rsidRPr="00EB3802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</w:p>
          <w:p w14:paraId="4D2F04DB" w14:textId="77777777" w:rsidR="00F7358E" w:rsidRPr="00EB3802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EB3802">
              <w:rPr>
                <w:rFonts w:ascii="Times New Roman" w:hAnsi="Times New Roman" w:cs="Times New Roman"/>
                <w:color w:val="000000"/>
                <w:lang w:val="sq-AL"/>
              </w:rPr>
              <w:t xml:space="preserve">4.1. Çmimi me shumicë i produktit nga    € 0 – 9.99 €  - marzha prej 20%; </w:t>
            </w:r>
          </w:p>
          <w:p w14:paraId="1FDA367A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  <w:lang w:val="sq-AL"/>
              </w:rPr>
            </w:pPr>
          </w:p>
          <w:p w14:paraId="1168B5E6" w14:textId="77777777" w:rsidR="00F7358E" w:rsidRPr="00EB3802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EB3802">
              <w:rPr>
                <w:rFonts w:ascii="Times New Roman" w:hAnsi="Times New Roman" w:cs="Times New Roman"/>
                <w:color w:val="000000"/>
                <w:lang w:val="sq-AL"/>
              </w:rPr>
              <w:lastRenderedPageBreak/>
              <w:t xml:space="preserve">4.2. Çmimi me shumicë i produktit      € 10.0 - € 49.99 - marzha prej 15%;    </w:t>
            </w:r>
          </w:p>
          <w:p w14:paraId="7916E848" w14:textId="77777777" w:rsidR="00F7358E" w:rsidRPr="00EB3802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</w:p>
          <w:p w14:paraId="7EDA070A" w14:textId="77777777" w:rsidR="00F7358E" w:rsidRPr="00EB3802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EB3802">
              <w:rPr>
                <w:rFonts w:ascii="Times New Roman" w:hAnsi="Times New Roman" w:cs="Times New Roman"/>
                <w:color w:val="000000"/>
                <w:lang w:val="sq-AL"/>
              </w:rPr>
              <w:t xml:space="preserve">4.3. Çmimi me shumicë i produktit      € 50.0 - € 99.99 - marzha prej 12%; </w:t>
            </w:r>
          </w:p>
          <w:p w14:paraId="0D4D18A0" w14:textId="77777777" w:rsidR="00F7358E" w:rsidRPr="00EB3802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</w:p>
          <w:p w14:paraId="61B66DB1" w14:textId="77777777" w:rsidR="00F7358E" w:rsidRPr="00EB3802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EB3802">
              <w:rPr>
                <w:rFonts w:ascii="Times New Roman" w:hAnsi="Times New Roman" w:cs="Times New Roman"/>
                <w:color w:val="000000"/>
                <w:lang w:val="sq-AL"/>
              </w:rPr>
              <w:t xml:space="preserve">4.4. Çmimi me shumicë i produktit mbi           € 100.0 - marzha prej 10%.     </w:t>
            </w:r>
          </w:p>
          <w:p w14:paraId="2E9B08A7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color w:val="7F7F7F" w:themeColor="text1" w:themeTint="80"/>
                <w:highlight w:val="yellow"/>
                <w:lang w:val="sq-AL"/>
              </w:rPr>
            </w:pPr>
          </w:p>
        </w:tc>
        <w:tc>
          <w:tcPr>
            <w:tcW w:w="5126" w:type="dxa"/>
            <w:shd w:val="clear" w:color="auto" w:fill="E2EFD9" w:themeFill="accent6" w:themeFillTint="33"/>
            <w:vAlign w:val="center"/>
          </w:tcPr>
          <w:p w14:paraId="0CA7B0FC" w14:textId="77777777" w:rsidR="00F7358E" w:rsidRPr="000D2840" w:rsidRDefault="00F7358E" w:rsidP="00F7358E">
            <w:pPr>
              <w:pStyle w:val="ListParagraph"/>
              <w:numPr>
                <w:ilvl w:val="0"/>
                <w:numId w:val="3"/>
              </w:numPr>
              <w:ind w:left="421" w:hanging="450"/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0D2840">
              <w:rPr>
                <w:rFonts w:ascii="Times New Roman" w:hAnsi="Times New Roman" w:cs="Times New Roman"/>
                <w:color w:val="000000"/>
                <w:lang w:val="sq-AL"/>
              </w:rPr>
              <w:lastRenderedPageBreak/>
              <w:t>Komisioni për çmimet e produkteve medicinale do të shtojë në çmimin me shumicë, një marzhë fitimi me pakicë për qarkulluesit e licencuar me pakicë si më poshtë:</w:t>
            </w:r>
          </w:p>
          <w:p w14:paraId="183D5D82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</w:p>
          <w:p w14:paraId="05391348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0D2840">
              <w:rPr>
                <w:rFonts w:ascii="Times New Roman" w:hAnsi="Times New Roman" w:cs="Times New Roman"/>
                <w:color w:val="000000"/>
                <w:lang w:val="sq-AL"/>
              </w:rPr>
              <w:t xml:space="preserve">4.1. Çmimi me shumicë i produktit nga    € 0 – 9.99 € - marzha prej 35%; </w:t>
            </w:r>
          </w:p>
          <w:p w14:paraId="79A55678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</w:p>
          <w:p w14:paraId="56F324F7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0D2840">
              <w:rPr>
                <w:rFonts w:ascii="Times New Roman" w:hAnsi="Times New Roman" w:cs="Times New Roman"/>
                <w:color w:val="000000"/>
                <w:lang w:val="sq-AL"/>
              </w:rPr>
              <w:lastRenderedPageBreak/>
              <w:t xml:space="preserve">4.2. Çmimi me shumicë i produktit      € 10.0 - € 19.99 - marzha prej 30%;    </w:t>
            </w:r>
          </w:p>
          <w:p w14:paraId="48DDFCCF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</w:p>
          <w:p w14:paraId="07386C51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0D2840">
              <w:rPr>
                <w:rFonts w:ascii="Times New Roman" w:hAnsi="Times New Roman" w:cs="Times New Roman"/>
                <w:color w:val="000000"/>
                <w:lang w:val="sq-AL"/>
              </w:rPr>
              <w:t xml:space="preserve">4.3. Çmimi me shumicë i produktit      € 20.0 - € 34.99 - marzha prej 25%; </w:t>
            </w:r>
          </w:p>
          <w:p w14:paraId="1AA00E1C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</w:p>
          <w:p w14:paraId="094A01DF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0D2840">
              <w:rPr>
                <w:rFonts w:ascii="Times New Roman" w:hAnsi="Times New Roman" w:cs="Times New Roman"/>
                <w:color w:val="000000"/>
                <w:lang w:val="sq-AL"/>
              </w:rPr>
              <w:t xml:space="preserve">4.4. Çmimi me shumicë i produktit      € 35.0 - € 49.99 - marzha prej 20%; </w:t>
            </w:r>
          </w:p>
          <w:p w14:paraId="7736763D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</w:p>
          <w:p w14:paraId="7F630522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0D2840">
              <w:rPr>
                <w:rFonts w:ascii="Times New Roman" w:hAnsi="Times New Roman" w:cs="Times New Roman"/>
                <w:color w:val="000000"/>
                <w:lang w:val="sq-AL"/>
              </w:rPr>
              <w:t xml:space="preserve">4.5. Çmimi me shumicë i produktit      € 50.0 - € 99.99 - marzha prej 15%; </w:t>
            </w:r>
          </w:p>
          <w:p w14:paraId="14C8D6AD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</w:p>
          <w:p w14:paraId="77E05EEB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0D2840">
              <w:rPr>
                <w:rFonts w:ascii="Times New Roman" w:hAnsi="Times New Roman" w:cs="Times New Roman"/>
                <w:color w:val="000000"/>
                <w:lang w:val="sq-AL"/>
              </w:rPr>
              <w:t xml:space="preserve">4.6. Çmimi me shumicë i produktit mbi           € 100.0 - marzha prej 10%.     </w:t>
            </w:r>
          </w:p>
          <w:p w14:paraId="75A666C9" w14:textId="77777777" w:rsidR="00F7358E" w:rsidRPr="000D2840" w:rsidRDefault="00F7358E" w:rsidP="000914C9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</w:tc>
        <w:tc>
          <w:tcPr>
            <w:tcW w:w="4131" w:type="dxa"/>
          </w:tcPr>
          <w:p w14:paraId="0BC23252" w14:textId="77777777" w:rsidR="00F7358E" w:rsidRPr="000D2840" w:rsidRDefault="00F7358E" w:rsidP="000914C9">
            <w:pPr>
              <w:pStyle w:val="ListParagraph"/>
              <w:ind w:left="-29"/>
              <w:jc w:val="both"/>
              <w:rPr>
                <w:lang w:val="sq-AL"/>
              </w:rPr>
            </w:pPr>
            <w:r w:rsidRPr="000D2840">
              <w:rPr>
                <w:lang w:val="sq-AL"/>
              </w:rPr>
              <w:lastRenderedPageBreak/>
              <w:t>Marzhat e propozuara në projektligjin për çmimin e barnave janë të pamjaftueshme për të siguruar mbijetesën ekonomike të farmacive komunitare dhe rrezikojnë mbylljen e shumë prej tyre. Marzhat e fitimit duhet të jenë më e larta se ato të propozuara nga Ministria e Shëndetësisë (MSH) për disa arsye:</w:t>
            </w:r>
          </w:p>
          <w:p w14:paraId="34112CA9" w14:textId="77777777" w:rsidR="00F7358E" w:rsidRPr="000D2840" w:rsidRDefault="00F7358E" w:rsidP="000914C9">
            <w:pPr>
              <w:pStyle w:val="ListParagraph"/>
              <w:ind w:left="61" w:hanging="90"/>
              <w:jc w:val="both"/>
              <w:rPr>
                <w:lang w:val="sq-AL"/>
              </w:rPr>
            </w:pPr>
            <w:r w:rsidRPr="000D2840">
              <w:rPr>
                <w:lang w:val="sq-AL"/>
              </w:rPr>
              <w:lastRenderedPageBreak/>
              <w:t xml:space="preserve"> </w:t>
            </w:r>
            <w:r>
              <w:rPr>
                <w:lang w:val="sq-AL"/>
              </w:rPr>
              <w:t xml:space="preserve">1.  </w:t>
            </w:r>
            <w:r w:rsidRPr="000D2840">
              <w:rPr>
                <w:lang w:val="sq-AL"/>
              </w:rPr>
              <w:t xml:space="preserve">Qarkullimi mesatar mujor për një farmaci komunitare tipike është më </w:t>
            </w:r>
            <w:r>
              <w:rPr>
                <w:lang w:val="sq-AL"/>
              </w:rPr>
              <w:t>pak se 10,000 €, me orar</w:t>
            </w:r>
            <w:r w:rsidRPr="000D2840">
              <w:rPr>
                <w:lang w:val="sq-AL"/>
              </w:rPr>
              <w:t xml:space="preserve"> pune prej 6 ditë  në jave dhe 14 orë në ditë (84 orë pune në javë). Bazuar në qarkullimin mesatar mujor dhe marzhat e propozuara nga MSH profiti mesatar bruto mujor për një farmaci komunitare tipike, në rastin më të mirë do të ishte 15% apo 1,500 € pa llogaritur pagesën e tatimit në fitim;</w:t>
            </w:r>
          </w:p>
          <w:p w14:paraId="11EB2411" w14:textId="77777777" w:rsidR="00F7358E" w:rsidRPr="000D2840" w:rsidRDefault="00F7358E" w:rsidP="000914C9">
            <w:pPr>
              <w:pStyle w:val="ListParagraph"/>
              <w:ind w:left="61" w:hanging="90"/>
              <w:jc w:val="both"/>
              <w:rPr>
                <w:lang w:val="sq-AL"/>
              </w:rPr>
            </w:pPr>
          </w:p>
          <w:p w14:paraId="04D35D65" w14:textId="77777777" w:rsidR="00F7358E" w:rsidRPr="000D2840" w:rsidRDefault="00F7358E" w:rsidP="000914C9">
            <w:pPr>
              <w:pStyle w:val="ListParagraph"/>
              <w:ind w:left="61"/>
              <w:jc w:val="both"/>
              <w:rPr>
                <w:lang w:val="sq-AL"/>
              </w:rPr>
            </w:pPr>
            <w:r w:rsidRPr="000D2840">
              <w:rPr>
                <w:lang w:val="sq-AL"/>
              </w:rPr>
              <w:t>2</w:t>
            </w:r>
            <w:r>
              <w:rPr>
                <w:lang w:val="sq-AL"/>
              </w:rPr>
              <w:t xml:space="preserve">.   </w:t>
            </w:r>
            <w:r w:rsidRPr="000D2840">
              <w:rPr>
                <w:lang w:val="sq-AL"/>
              </w:rPr>
              <w:t>Një farmaci komunitare për të</w:t>
            </w:r>
            <w:r>
              <w:rPr>
                <w:lang w:val="sq-AL"/>
              </w:rPr>
              <w:t xml:space="preserve"> ushtruar veprimtarinë </w:t>
            </w:r>
            <w:r w:rsidR="00F03E62">
              <w:rPr>
                <w:lang w:val="sq-AL"/>
              </w:rPr>
              <w:t xml:space="preserve">e vet </w:t>
            </w:r>
            <w:r>
              <w:rPr>
                <w:lang w:val="sq-AL"/>
              </w:rPr>
              <w:t>në pajtim me ligjin dhe për të</w:t>
            </w:r>
            <w:r w:rsidRPr="000D2840">
              <w:rPr>
                <w:lang w:val="sq-AL"/>
              </w:rPr>
              <w:t xml:space="preserve"> mbijetuar ekonomikisht duhet të jetë në gjendje të mbul</w:t>
            </w:r>
            <w:r>
              <w:rPr>
                <w:lang w:val="sq-AL"/>
              </w:rPr>
              <w:t xml:space="preserve">ojë pagat e dy farmacistëve, dy teknikëve të farmacisë </w:t>
            </w:r>
            <w:r w:rsidRPr="000D2840">
              <w:rPr>
                <w:lang w:val="sq-AL"/>
              </w:rPr>
              <w:t>dhe shpenzimet tjera siç janë qiraja e lokalit, shërbimet komunale, shërbimet e kontabilitetit, shërbimet e mirëmbajtjes, tarifat për licencën e punës, tatimin në fitim, barnat me afat të skaduar etj</w:t>
            </w:r>
          </w:p>
          <w:p w14:paraId="3BB2AE87" w14:textId="77777777" w:rsidR="00F7358E" w:rsidRPr="000D2840" w:rsidRDefault="00F7358E" w:rsidP="000914C9">
            <w:pPr>
              <w:pStyle w:val="ListParagraph"/>
              <w:jc w:val="both"/>
              <w:rPr>
                <w:lang w:val="sq-AL"/>
              </w:rPr>
            </w:pPr>
          </w:p>
          <w:p w14:paraId="50DE4BC8" w14:textId="77777777" w:rsidR="00F7358E" w:rsidRPr="000D2840" w:rsidRDefault="00F7358E" w:rsidP="000914C9">
            <w:pPr>
              <w:pStyle w:val="ListParagraph"/>
              <w:ind w:left="61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3.    </w:t>
            </w:r>
            <w:r w:rsidRPr="000D2840">
              <w:rPr>
                <w:lang w:val="sq-AL"/>
              </w:rPr>
              <w:t xml:space="preserve">Nëse llogarisim pagën mujore bruto 750 € për një farmacist, 350 € për </w:t>
            </w:r>
            <w:r>
              <w:rPr>
                <w:lang w:val="sq-AL"/>
              </w:rPr>
              <w:t xml:space="preserve">një teknik të farmacisë dhe 700 </w:t>
            </w:r>
            <w:r w:rsidRPr="000D2840">
              <w:rPr>
                <w:lang w:val="sq-AL"/>
              </w:rPr>
              <w:t>€ qira mujore pa llogaritur shpenzimet tjera të përmendura më lartë del se shpenzimet operative minimale mujore për një farmaci komunitare janë më të larta se 2,900 €;</w:t>
            </w:r>
          </w:p>
          <w:p w14:paraId="7B0E1038" w14:textId="77777777" w:rsidR="00F7358E" w:rsidRPr="000D2840" w:rsidRDefault="00F7358E" w:rsidP="000914C9">
            <w:pPr>
              <w:pStyle w:val="ListParagraph"/>
              <w:jc w:val="both"/>
              <w:rPr>
                <w:lang w:val="sq-AL"/>
              </w:rPr>
            </w:pPr>
          </w:p>
          <w:p w14:paraId="65912901" w14:textId="77777777" w:rsidR="00F7358E" w:rsidRPr="000D2840" w:rsidRDefault="00F7358E" w:rsidP="000914C9">
            <w:pPr>
              <w:pStyle w:val="ListParagraph"/>
              <w:ind w:left="61"/>
              <w:jc w:val="both"/>
              <w:rPr>
                <w:lang w:val="sq-AL"/>
              </w:rPr>
            </w:pPr>
            <w:r w:rsidRPr="000D2840">
              <w:rPr>
                <w:lang w:val="sq-AL"/>
              </w:rPr>
              <w:t xml:space="preserve">4.    Një marzhë fitimi çfarë është propozuar nga MSH nuk mjafton për të mbuluar as gjysmën e shpenzimeve operative për një farmaci komunitare. Nëse aplikohet si e tillë do të ndikoj në mbylljen e shumë </w:t>
            </w:r>
            <w:r w:rsidRPr="000D2840">
              <w:rPr>
                <w:lang w:val="sq-AL"/>
              </w:rPr>
              <w:lastRenderedPageBreak/>
              <w:t>farmacive komunitare, rritjen e papunësisë dhe ikjen e profesionistëve shëndetësorë gjegjësisht farmacistëve nga vendi;</w:t>
            </w:r>
          </w:p>
          <w:p w14:paraId="0CDF0487" w14:textId="77777777" w:rsidR="00F7358E" w:rsidRPr="000D2840" w:rsidRDefault="00F7358E" w:rsidP="000914C9">
            <w:pPr>
              <w:pStyle w:val="ListParagraph"/>
              <w:ind w:hanging="540"/>
              <w:jc w:val="both"/>
              <w:rPr>
                <w:lang w:val="sq-AL"/>
              </w:rPr>
            </w:pPr>
          </w:p>
          <w:p w14:paraId="62BD5781" w14:textId="77777777" w:rsidR="00F7358E" w:rsidRPr="000D2840" w:rsidRDefault="00F7358E" w:rsidP="000914C9">
            <w:pPr>
              <w:pStyle w:val="ListParagraph"/>
              <w:ind w:left="61"/>
              <w:jc w:val="both"/>
              <w:rPr>
                <w:lang w:val="sq-AL"/>
              </w:rPr>
            </w:pPr>
            <w:r w:rsidRPr="000D2840">
              <w:rPr>
                <w:lang w:val="sq-AL"/>
              </w:rPr>
              <w:t>5.    Prand</w:t>
            </w:r>
            <w:r>
              <w:rPr>
                <w:lang w:val="sq-AL"/>
              </w:rPr>
              <w:t>aj, marzha</w:t>
            </w:r>
            <w:r w:rsidRPr="000D2840">
              <w:rPr>
                <w:lang w:val="sq-AL"/>
              </w:rPr>
              <w:t xml:space="preserve"> më të larta</w:t>
            </w:r>
            <w:r>
              <w:rPr>
                <w:lang w:val="sq-AL"/>
              </w:rPr>
              <w:t>,</w:t>
            </w:r>
            <w:r w:rsidRPr="000D2840">
              <w:rPr>
                <w:lang w:val="sq-AL"/>
              </w:rPr>
              <w:t xml:space="preserve"> </w:t>
            </w:r>
            <w:r>
              <w:rPr>
                <w:lang w:val="sq-AL"/>
              </w:rPr>
              <w:t>sipas</w:t>
            </w:r>
            <w:r w:rsidRPr="000D2840">
              <w:rPr>
                <w:lang w:val="sq-AL"/>
              </w:rPr>
              <w:t xml:space="preserve"> </w:t>
            </w:r>
            <w:r>
              <w:rPr>
                <w:lang w:val="sq-AL"/>
              </w:rPr>
              <w:t xml:space="preserve"> propozimit të</w:t>
            </w:r>
            <w:r w:rsidRPr="000D2840">
              <w:rPr>
                <w:lang w:val="sq-AL"/>
              </w:rPr>
              <w:t xml:space="preserve"> OFK janë thelbësore për të siguruar vazhdimin e funksionimit të farmacive komunitare dhe një vend pune minimalisht të dinjitetshëm për farmacistët komunitarë.</w:t>
            </w:r>
          </w:p>
          <w:p w14:paraId="14D2CD01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i/>
                <w:lang w:val="sq-AL"/>
              </w:rPr>
            </w:pPr>
          </w:p>
        </w:tc>
      </w:tr>
      <w:tr w:rsidR="00F7358E" w:rsidRPr="000D2840" w14:paraId="5DAC51D2" w14:textId="77777777" w:rsidTr="000914C9">
        <w:tc>
          <w:tcPr>
            <w:tcW w:w="5080" w:type="dxa"/>
            <w:vAlign w:val="center"/>
          </w:tcPr>
          <w:p w14:paraId="43A50264" w14:textId="77777777" w:rsidR="00F7358E" w:rsidRPr="000D2840" w:rsidRDefault="00F7358E" w:rsidP="00F7358E">
            <w:pPr>
              <w:pStyle w:val="ListParagraph"/>
              <w:numPr>
                <w:ilvl w:val="0"/>
                <w:numId w:val="3"/>
              </w:numPr>
              <w:ind w:left="285" w:hanging="285"/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0D2840">
              <w:rPr>
                <w:rFonts w:ascii="Times New Roman" w:hAnsi="Times New Roman" w:cs="Times New Roman"/>
                <w:color w:val="000000"/>
                <w:lang w:val="sq-AL"/>
              </w:rPr>
              <w:lastRenderedPageBreak/>
              <w:t>Qarkulluesi me pakicë është i obliguar që shitjen me pakicë ta bëjë sipas çmimit të përcaktuar nga Komisoni.</w:t>
            </w:r>
          </w:p>
          <w:p w14:paraId="2C59951D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color w:val="7F7F7F" w:themeColor="text1" w:themeTint="80"/>
                <w:lang w:val="sq-AL"/>
              </w:rPr>
            </w:pPr>
          </w:p>
        </w:tc>
        <w:tc>
          <w:tcPr>
            <w:tcW w:w="5126" w:type="dxa"/>
            <w:shd w:val="clear" w:color="auto" w:fill="E2EFD9" w:themeFill="accent6" w:themeFillTint="33"/>
            <w:vAlign w:val="center"/>
          </w:tcPr>
          <w:p w14:paraId="03BA4AC3" w14:textId="77777777" w:rsidR="00F7358E" w:rsidRPr="000D2840" w:rsidRDefault="00F7358E" w:rsidP="000914C9">
            <w:pPr>
              <w:ind w:hanging="119"/>
              <w:jc w:val="both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4131" w:type="dxa"/>
          </w:tcPr>
          <w:p w14:paraId="1CD2CA6C" w14:textId="77777777" w:rsidR="00F7358E" w:rsidRPr="000D2840" w:rsidRDefault="00F7358E" w:rsidP="000914C9">
            <w:pPr>
              <w:rPr>
                <w:rFonts w:ascii="Times New Roman" w:hAnsi="Times New Roman" w:cs="Times New Roman"/>
                <w:b/>
                <w:bCs/>
                <w:i/>
                <w:lang w:val="sq-AL"/>
              </w:rPr>
            </w:pPr>
          </w:p>
        </w:tc>
      </w:tr>
      <w:tr w:rsidR="00F7358E" w:rsidRPr="000D2840" w14:paraId="7350DADB" w14:textId="77777777" w:rsidTr="000914C9">
        <w:tc>
          <w:tcPr>
            <w:tcW w:w="5080" w:type="dxa"/>
            <w:vAlign w:val="center"/>
          </w:tcPr>
          <w:p w14:paraId="36CBD528" w14:textId="77777777" w:rsidR="00F7358E" w:rsidRPr="000D2840" w:rsidRDefault="00F7358E" w:rsidP="00F7358E">
            <w:pPr>
              <w:pStyle w:val="ListParagraph"/>
              <w:numPr>
                <w:ilvl w:val="0"/>
                <w:numId w:val="3"/>
              </w:numPr>
              <w:ind w:left="285" w:hanging="285"/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0D2840">
              <w:rPr>
                <w:rFonts w:ascii="Times New Roman" w:hAnsi="Times New Roman" w:cs="Times New Roman"/>
                <w:color w:val="000000"/>
                <w:lang w:val="sq-AL"/>
              </w:rPr>
              <w:t>Për produktet medicinale në qarkullim në Republikën e Kosovës çmimi me pakicë duhet të jetë i vendosur në banderolë ose në një vend të dukshëm në ambalazhin e jashtëm sipas aktit nënligjor përkatës në fuqi.</w:t>
            </w:r>
          </w:p>
        </w:tc>
        <w:tc>
          <w:tcPr>
            <w:tcW w:w="5126" w:type="dxa"/>
            <w:shd w:val="clear" w:color="auto" w:fill="E2EFD9" w:themeFill="accent6" w:themeFillTint="33"/>
          </w:tcPr>
          <w:p w14:paraId="44BD40A3" w14:textId="77777777" w:rsidR="00F7358E" w:rsidRPr="007D218C" w:rsidRDefault="00F7358E" w:rsidP="00F7358E">
            <w:pPr>
              <w:pStyle w:val="ListParagraph"/>
              <w:numPr>
                <w:ilvl w:val="0"/>
                <w:numId w:val="3"/>
              </w:numPr>
              <w:ind w:left="331" w:hanging="331"/>
              <w:jc w:val="both"/>
              <w:rPr>
                <w:rFonts w:ascii="Times New Roman" w:hAnsi="Times New Roman" w:cs="Times New Roman"/>
                <w:bCs/>
                <w:lang w:val="sq-AL"/>
              </w:rPr>
            </w:pPr>
            <w:r>
              <w:rPr>
                <w:rFonts w:ascii="Times New Roman" w:hAnsi="Times New Roman" w:cs="Times New Roman"/>
                <w:bCs/>
                <w:lang w:val="sq-AL"/>
              </w:rPr>
              <w:t xml:space="preserve">Tarifa </w:t>
            </w:r>
            <w:r w:rsidRPr="007D218C">
              <w:rPr>
                <w:rFonts w:ascii="Times New Roman" w:hAnsi="Times New Roman" w:cs="Times New Roman"/>
                <w:bCs/>
                <w:lang w:val="sq-AL"/>
              </w:rPr>
              <w:t>p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7D218C">
              <w:rPr>
                <w:rFonts w:ascii="Times New Roman" w:hAnsi="Times New Roman" w:cs="Times New Roman"/>
                <w:bCs/>
                <w:lang w:val="sq-AL"/>
              </w:rPr>
              <w:t>r ofrimin e sh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7D218C">
              <w:rPr>
                <w:rFonts w:ascii="Times New Roman" w:hAnsi="Times New Roman" w:cs="Times New Roman"/>
                <w:bCs/>
                <w:lang w:val="sq-AL"/>
              </w:rPr>
              <w:t>rbimit profesional t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7D218C">
              <w:rPr>
                <w:rFonts w:ascii="Times New Roman" w:hAnsi="Times New Roman" w:cs="Times New Roman"/>
                <w:bCs/>
                <w:lang w:val="sq-AL"/>
              </w:rPr>
              <w:t xml:space="preserve"> farmacistit 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7D218C">
              <w:rPr>
                <w:rFonts w:ascii="Times New Roman" w:hAnsi="Times New Roman" w:cs="Times New Roman"/>
                <w:bCs/>
                <w:lang w:val="sq-AL"/>
              </w:rPr>
              <w:t>sht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7D218C">
              <w:rPr>
                <w:rFonts w:ascii="Times New Roman" w:hAnsi="Times New Roman" w:cs="Times New Roman"/>
                <w:bCs/>
                <w:lang w:val="sq-AL"/>
              </w:rPr>
              <w:t xml:space="preserve"> 0.50 € p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7D218C">
              <w:rPr>
                <w:rFonts w:ascii="Times New Roman" w:hAnsi="Times New Roman" w:cs="Times New Roman"/>
                <w:bCs/>
                <w:lang w:val="sq-AL"/>
              </w:rPr>
              <w:t>r nj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7D218C">
              <w:rPr>
                <w:rFonts w:ascii="Times New Roman" w:hAnsi="Times New Roman" w:cs="Times New Roman"/>
                <w:bCs/>
                <w:lang w:val="sq-AL"/>
              </w:rPr>
              <w:t xml:space="preserve"> recet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7D218C">
              <w:rPr>
                <w:rFonts w:ascii="Times New Roman" w:hAnsi="Times New Roman" w:cs="Times New Roman"/>
                <w:bCs/>
                <w:lang w:val="sq-AL"/>
              </w:rPr>
              <w:t xml:space="preserve"> t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7D218C">
              <w:rPr>
                <w:rFonts w:ascii="Times New Roman" w:hAnsi="Times New Roman" w:cs="Times New Roman"/>
                <w:bCs/>
                <w:lang w:val="sq-AL"/>
              </w:rPr>
              <w:t xml:space="preserve"> barit.</w:t>
            </w:r>
          </w:p>
        </w:tc>
        <w:tc>
          <w:tcPr>
            <w:tcW w:w="4131" w:type="dxa"/>
          </w:tcPr>
          <w:p w14:paraId="2B6596A4" w14:textId="77777777" w:rsidR="00F7358E" w:rsidRPr="007D218C" w:rsidRDefault="00F7358E" w:rsidP="000914C9">
            <w:pPr>
              <w:jc w:val="both"/>
              <w:rPr>
                <w:rFonts w:ascii="Times New Roman" w:hAnsi="Times New Roman" w:cs="Times New Roman"/>
                <w:bCs/>
                <w:lang w:val="sq-AL"/>
              </w:rPr>
            </w:pPr>
            <w:r>
              <w:rPr>
                <w:rFonts w:ascii="Times New Roman" w:hAnsi="Times New Roman" w:cs="Times New Roman"/>
                <w:bCs/>
                <w:lang w:val="sq-AL"/>
              </w:rPr>
              <w:t>Reimbursimi i shërbimit ndikon në përmirësimin e cilësisë së shërbimit profesional të ofruar nga farmacistët.</w:t>
            </w:r>
          </w:p>
        </w:tc>
      </w:tr>
      <w:tr w:rsidR="00F7358E" w:rsidRPr="000D2840" w14:paraId="099B5223" w14:textId="77777777" w:rsidTr="000914C9">
        <w:tc>
          <w:tcPr>
            <w:tcW w:w="5080" w:type="dxa"/>
            <w:vAlign w:val="center"/>
          </w:tcPr>
          <w:p w14:paraId="7FE8F61F" w14:textId="77777777" w:rsidR="00F7358E" w:rsidRPr="000D2840" w:rsidRDefault="00F7358E" w:rsidP="000914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0D2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Neni 13</w:t>
            </w:r>
          </w:p>
          <w:p w14:paraId="2736F920" w14:textId="77777777" w:rsidR="00F7358E" w:rsidRPr="000D2840" w:rsidRDefault="00F7358E" w:rsidP="000914C9">
            <w:pPr>
              <w:jc w:val="center"/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  <w:lang w:val="sq-AL"/>
              </w:rPr>
            </w:pPr>
            <w:r w:rsidRPr="000D2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Themelimi, përbërja dhe kompetenca e Komisionit</w:t>
            </w:r>
          </w:p>
        </w:tc>
        <w:tc>
          <w:tcPr>
            <w:tcW w:w="5126" w:type="dxa"/>
            <w:shd w:val="clear" w:color="auto" w:fill="E2EFD9" w:themeFill="accent6" w:themeFillTint="33"/>
            <w:vAlign w:val="center"/>
          </w:tcPr>
          <w:p w14:paraId="03000FD4" w14:textId="77777777" w:rsidR="00F7358E" w:rsidRPr="000D2840" w:rsidRDefault="00F7358E" w:rsidP="000914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0D2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Neni 13</w:t>
            </w:r>
          </w:p>
          <w:p w14:paraId="346BEB45" w14:textId="77777777" w:rsidR="00F7358E" w:rsidRPr="000D2840" w:rsidRDefault="00F7358E" w:rsidP="000914C9">
            <w:pPr>
              <w:jc w:val="center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D2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Themelimi, përbërja dhe kompetenca e Komisionit</w:t>
            </w:r>
          </w:p>
        </w:tc>
        <w:tc>
          <w:tcPr>
            <w:tcW w:w="4131" w:type="dxa"/>
            <w:vAlign w:val="center"/>
          </w:tcPr>
          <w:p w14:paraId="2B2D72D6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i/>
                <w:lang w:val="sq-AL"/>
              </w:rPr>
            </w:pPr>
          </w:p>
        </w:tc>
      </w:tr>
      <w:tr w:rsidR="00F7358E" w:rsidRPr="000D2840" w14:paraId="52E9A1B7" w14:textId="77777777" w:rsidTr="000914C9">
        <w:tc>
          <w:tcPr>
            <w:tcW w:w="5080" w:type="dxa"/>
            <w:vAlign w:val="center"/>
          </w:tcPr>
          <w:p w14:paraId="26AACCC0" w14:textId="77777777" w:rsidR="00F7358E" w:rsidRPr="000D2840" w:rsidRDefault="00F7358E" w:rsidP="00F7358E">
            <w:pPr>
              <w:pStyle w:val="ListParagraph"/>
              <w:numPr>
                <w:ilvl w:val="0"/>
                <w:numId w:val="2"/>
              </w:numPr>
              <w:ind w:left="285" w:hanging="270"/>
              <w:jc w:val="both"/>
              <w:rPr>
                <w:rFonts w:ascii="Times New Roman" w:hAnsi="Times New Roman" w:cs="Times New Roman"/>
                <w:b/>
                <w:bCs/>
                <w:color w:val="7F7F7F" w:themeColor="text1" w:themeTint="80"/>
                <w:lang w:val="sq-AL"/>
              </w:rPr>
            </w:pPr>
            <w:r w:rsidRPr="000D2840">
              <w:rPr>
                <w:rFonts w:ascii="Times New Roman" w:hAnsi="Times New Roman" w:cs="Times New Roman"/>
                <w:color w:val="000000"/>
                <w:lang w:val="sq-AL"/>
              </w:rPr>
              <w:t>Komisioni për përcaktimin e çmimeve për produkte medicinale formohet me këtë ligj me mandat 2 vjeçar.</w:t>
            </w:r>
          </w:p>
          <w:p w14:paraId="017DB8E5" w14:textId="77777777" w:rsidR="00F7358E" w:rsidRPr="000D2840" w:rsidRDefault="00F7358E" w:rsidP="000914C9">
            <w:pPr>
              <w:pStyle w:val="ListParagraph"/>
              <w:ind w:left="285"/>
              <w:jc w:val="both"/>
              <w:rPr>
                <w:rFonts w:ascii="Times New Roman" w:hAnsi="Times New Roman" w:cs="Times New Roman"/>
                <w:b/>
                <w:bCs/>
                <w:color w:val="7F7F7F" w:themeColor="text1" w:themeTint="80"/>
                <w:lang w:val="sq-AL"/>
              </w:rPr>
            </w:pPr>
          </w:p>
        </w:tc>
        <w:tc>
          <w:tcPr>
            <w:tcW w:w="5126" w:type="dxa"/>
            <w:shd w:val="clear" w:color="auto" w:fill="E2EFD9" w:themeFill="accent6" w:themeFillTint="33"/>
            <w:vAlign w:val="center"/>
          </w:tcPr>
          <w:p w14:paraId="4F2AE62F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4131" w:type="dxa"/>
            <w:vAlign w:val="center"/>
          </w:tcPr>
          <w:p w14:paraId="3BCD6D5F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i/>
                <w:lang w:val="sq-AL"/>
              </w:rPr>
            </w:pPr>
          </w:p>
        </w:tc>
      </w:tr>
      <w:tr w:rsidR="00F7358E" w:rsidRPr="000D2840" w14:paraId="2D2EACAD" w14:textId="77777777" w:rsidTr="000914C9">
        <w:tc>
          <w:tcPr>
            <w:tcW w:w="5080" w:type="dxa"/>
            <w:vAlign w:val="center"/>
          </w:tcPr>
          <w:p w14:paraId="67EDB8E7" w14:textId="77777777" w:rsidR="00F7358E" w:rsidRPr="00EB3802" w:rsidRDefault="00F7358E" w:rsidP="00F7358E">
            <w:pPr>
              <w:pStyle w:val="ListParagraph"/>
              <w:numPr>
                <w:ilvl w:val="0"/>
                <w:numId w:val="2"/>
              </w:numPr>
              <w:ind w:left="285" w:hanging="285"/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EB3802">
              <w:rPr>
                <w:rFonts w:ascii="Times New Roman" w:hAnsi="Times New Roman" w:cs="Times New Roman"/>
                <w:color w:val="000000"/>
                <w:lang w:val="sq-AL"/>
              </w:rPr>
              <w:t>Komisioni për çmime të produkteve medicinale përbëhet prej shtatë (7) anëtarëve me propozim të institucioneve si në vijim:</w:t>
            </w:r>
          </w:p>
          <w:p w14:paraId="25DB6470" w14:textId="77777777" w:rsidR="00F7358E" w:rsidRPr="00EB3802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</w:p>
          <w:p w14:paraId="6CA8F374" w14:textId="77777777" w:rsidR="00F7358E" w:rsidRPr="00EB3802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EB3802">
              <w:rPr>
                <w:rFonts w:ascii="Times New Roman" w:hAnsi="Times New Roman" w:cs="Times New Roman"/>
                <w:color w:val="000000"/>
                <w:lang w:val="sq-AL"/>
              </w:rPr>
              <w:t xml:space="preserve">     2.1. Ministri i Shëndetësisë (pesë anëtarë);</w:t>
            </w:r>
          </w:p>
          <w:p w14:paraId="28909005" w14:textId="77777777" w:rsidR="00F7358E" w:rsidRPr="00EB3802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</w:p>
          <w:p w14:paraId="4CF1D26D" w14:textId="77777777" w:rsidR="00F7358E" w:rsidRPr="00EB3802" w:rsidRDefault="00F7358E" w:rsidP="000914C9">
            <w:pPr>
              <w:ind w:firstLine="285"/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EB3802">
              <w:rPr>
                <w:rFonts w:ascii="Times New Roman" w:hAnsi="Times New Roman" w:cs="Times New Roman"/>
                <w:color w:val="000000"/>
                <w:lang w:val="sq-AL"/>
              </w:rPr>
              <w:t>2.2. Agjencia e Kosovës për produkte dhe pajisje medicinale;</w:t>
            </w:r>
          </w:p>
          <w:p w14:paraId="74228BCB" w14:textId="77777777" w:rsidR="00F7358E" w:rsidRPr="00EB3802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</w:p>
          <w:p w14:paraId="6C59CFAC" w14:textId="77777777" w:rsidR="00F7358E" w:rsidRPr="00EB3802" w:rsidRDefault="00F7358E" w:rsidP="00F7358E">
            <w:pPr>
              <w:pStyle w:val="ListParagraph"/>
              <w:numPr>
                <w:ilvl w:val="1"/>
                <w:numId w:val="2"/>
              </w:numPr>
              <w:ind w:hanging="480"/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EB3802">
              <w:rPr>
                <w:rFonts w:ascii="Times New Roman" w:hAnsi="Times New Roman" w:cs="Times New Roman"/>
                <w:color w:val="000000"/>
                <w:lang w:val="sq-AL"/>
              </w:rPr>
              <w:t>Dogana e Kosovës</w:t>
            </w:r>
          </w:p>
          <w:p w14:paraId="4C80ED19" w14:textId="77777777" w:rsidR="00F7358E" w:rsidRPr="00EB3802" w:rsidRDefault="00F7358E" w:rsidP="000914C9">
            <w:pPr>
              <w:pStyle w:val="ListParagraph"/>
              <w:ind w:left="765"/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</w:p>
        </w:tc>
        <w:tc>
          <w:tcPr>
            <w:tcW w:w="5126" w:type="dxa"/>
            <w:shd w:val="clear" w:color="auto" w:fill="E2EFD9" w:themeFill="accent6" w:themeFillTint="33"/>
          </w:tcPr>
          <w:p w14:paraId="0914BC6A" w14:textId="77777777" w:rsidR="00F7358E" w:rsidRPr="000D2840" w:rsidRDefault="00F7358E" w:rsidP="00F7358E">
            <w:pPr>
              <w:pStyle w:val="ListParagraph"/>
              <w:numPr>
                <w:ilvl w:val="0"/>
                <w:numId w:val="4"/>
              </w:numPr>
              <w:ind w:left="331" w:hanging="331"/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0D2840">
              <w:rPr>
                <w:rFonts w:ascii="Times New Roman" w:hAnsi="Times New Roman" w:cs="Times New Roman"/>
                <w:color w:val="000000"/>
                <w:lang w:val="sq-AL"/>
              </w:rPr>
              <w:lastRenderedPageBreak/>
              <w:t>Komisioni për çmime të produkteve medicinale përbëhet prej shtatë (7) anëtarëve me propozim të institucioneve si në vijim:</w:t>
            </w:r>
          </w:p>
          <w:p w14:paraId="7B8CEA4C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</w:p>
          <w:p w14:paraId="680563DD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0D2840">
              <w:rPr>
                <w:rFonts w:ascii="Times New Roman" w:hAnsi="Times New Roman" w:cs="Times New Roman"/>
                <w:color w:val="000000"/>
                <w:lang w:val="sq-AL"/>
              </w:rPr>
              <w:t xml:space="preserve">     2.1. Ministri i Shëndetësisë (katër anëtarë);</w:t>
            </w:r>
          </w:p>
          <w:p w14:paraId="31D4F1AC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</w:p>
          <w:p w14:paraId="51482BE6" w14:textId="77777777" w:rsidR="00F7358E" w:rsidRPr="000D2840" w:rsidRDefault="00F7358E" w:rsidP="000914C9">
            <w:pPr>
              <w:ind w:firstLine="285"/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0D2840">
              <w:rPr>
                <w:rFonts w:ascii="Times New Roman" w:hAnsi="Times New Roman" w:cs="Times New Roman"/>
                <w:color w:val="000000"/>
                <w:lang w:val="sq-AL"/>
              </w:rPr>
              <w:t>2.2. Agjencia e Kosovës për produkte dhe pajisje medicinale;</w:t>
            </w:r>
          </w:p>
          <w:p w14:paraId="58C8FD48" w14:textId="77777777" w:rsidR="00F7358E" w:rsidRPr="000D2840" w:rsidRDefault="00F7358E" w:rsidP="000914C9">
            <w:pPr>
              <w:ind w:firstLine="285"/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0D2840">
              <w:rPr>
                <w:rFonts w:ascii="Times New Roman" w:hAnsi="Times New Roman" w:cs="Times New Roman"/>
                <w:color w:val="000000"/>
                <w:lang w:val="sq-AL"/>
              </w:rPr>
              <w:lastRenderedPageBreak/>
              <w:t>2.3   Oda e Farmacist</w:t>
            </w:r>
            <w:r>
              <w:rPr>
                <w:rFonts w:ascii="Times New Roman" w:hAnsi="Times New Roman" w:cs="Times New Roman"/>
                <w:color w:val="000000"/>
                <w:lang w:val="sq-AL"/>
              </w:rPr>
              <w:t>ë</w:t>
            </w:r>
            <w:r w:rsidRPr="000D2840">
              <w:rPr>
                <w:rFonts w:ascii="Times New Roman" w:hAnsi="Times New Roman" w:cs="Times New Roman"/>
                <w:color w:val="000000"/>
                <w:lang w:val="sq-AL"/>
              </w:rPr>
              <w:t>ve t</w:t>
            </w:r>
            <w:r>
              <w:rPr>
                <w:rFonts w:ascii="Times New Roman" w:hAnsi="Times New Roman" w:cs="Times New Roman"/>
                <w:color w:val="000000"/>
                <w:lang w:val="sq-AL"/>
              </w:rPr>
              <w:t>ë</w:t>
            </w:r>
            <w:r w:rsidRPr="000D2840">
              <w:rPr>
                <w:rFonts w:ascii="Times New Roman" w:hAnsi="Times New Roman" w:cs="Times New Roman"/>
                <w:color w:val="000000"/>
                <w:lang w:val="sq-AL"/>
              </w:rPr>
              <w:t xml:space="preserve"> Kosov</w:t>
            </w:r>
            <w:r>
              <w:rPr>
                <w:rFonts w:ascii="Times New Roman" w:hAnsi="Times New Roman" w:cs="Times New Roman"/>
                <w:color w:val="000000"/>
                <w:lang w:val="sq-AL"/>
              </w:rPr>
              <w:t>ë</w:t>
            </w:r>
            <w:r w:rsidRPr="000D2840">
              <w:rPr>
                <w:rFonts w:ascii="Times New Roman" w:hAnsi="Times New Roman" w:cs="Times New Roman"/>
                <w:color w:val="000000"/>
                <w:lang w:val="sq-AL"/>
              </w:rPr>
              <w:t>s</w:t>
            </w:r>
          </w:p>
          <w:p w14:paraId="31A98E1F" w14:textId="77777777" w:rsidR="00F7358E" w:rsidRPr="000D2840" w:rsidRDefault="00F7358E" w:rsidP="000914C9">
            <w:pPr>
              <w:ind w:firstLine="285"/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</w:p>
          <w:p w14:paraId="50BE025E" w14:textId="77777777" w:rsidR="00F7358E" w:rsidRPr="000D2840" w:rsidRDefault="00F7358E" w:rsidP="000914C9">
            <w:pPr>
              <w:ind w:firstLine="285"/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0D2840">
              <w:rPr>
                <w:rFonts w:ascii="Times New Roman" w:hAnsi="Times New Roman" w:cs="Times New Roman"/>
                <w:color w:val="000000"/>
                <w:lang w:val="sq-AL"/>
              </w:rPr>
              <w:t>2.4   Dogana e Kosov</w:t>
            </w:r>
            <w:r>
              <w:rPr>
                <w:rFonts w:ascii="Times New Roman" w:hAnsi="Times New Roman" w:cs="Times New Roman"/>
                <w:color w:val="000000"/>
                <w:lang w:val="sq-AL"/>
              </w:rPr>
              <w:t>ë</w:t>
            </w:r>
            <w:r w:rsidRPr="000D2840">
              <w:rPr>
                <w:rFonts w:ascii="Times New Roman" w:hAnsi="Times New Roman" w:cs="Times New Roman"/>
                <w:color w:val="000000"/>
                <w:lang w:val="sq-AL"/>
              </w:rPr>
              <w:t>s</w:t>
            </w:r>
          </w:p>
          <w:p w14:paraId="246DB873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color w:val="000000"/>
                <w:lang w:val="sq-AL"/>
              </w:rPr>
            </w:pPr>
          </w:p>
          <w:p w14:paraId="2049E7A0" w14:textId="77777777" w:rsidR="00F7358E" w:rsidRPr="000D2840" w:rsidRDefault="00F7358E" w:rsidP="000914C9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4131" w:type="dxa"/>
          </w:tcPr>
          <w:p w14:paraId="4E47A26A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Cs/>
                <w:lang w:val="sq-AL"/>
              </w:rPr>
            </w:pPr>
            <w:r w:rsidRPr="000D2840">
              <w:rPr>
                <w:rFonts w:ascii="Times New Roman" w:hAnsi="Times New Roman" w:cs="Times New Roman"/>
                <w:bCs/>
                <w:lang w:val="sq-AL"/>
              </w:rPr>
              <w:lastRenderedPageBreak/>
              <w:t xml:space="preserve">Përfshirja e OFK-së në komision është e domosdoshme për të siguruar përfaqësimin e farmacistëve si komunitet që ndikohet drejtpërdrejtë nga ky projektligj. </w:t>
            </w:r>
          </w:p>
        </w:tc>
      </w:tr>
      <w:tr w:rsidR="00F7358E" w:rsidRPr="000D2840" w14:paraId="43D9F076" w14:textId="77777777" w:rsidTr="000914C9">
        <w:tc>
          <w:tcPr>
            <w:tcW w:w="5080" w:type="dxa"/>
            <w:vAlign w:val="center"/>
          </w:tcPr>
          <w:p w14:paraId="72A33F76" w14:textId="77777777" w:rsidR="00F7358E" w:rsidRPr="005649A3" w:rsidRDefault="00F7358E" w:rsidP="000914C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5649A3">
              <w:rPr>
                <w:rFonts w:ascii="Times New Roman" w:eastAsia="Calibri" w:hAnsi="Times New Roman" w:cs="Times New Roman"/>
                <w:b/>
                <w:lang w:val="sq-AL"/>
              </w:rPr>
              <w:t>Neni 17</w:t>
            </w:r>
          </w:p>
          <w:p w14:paraId="7BC6912B" w14:textId="77777777" w:rsidR="00F7358E" w:rsidRPr="00EB3802" w:rsidRDefault="00F7358E" w:rsidP="000914C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EB3802">
              <w:rPr>
                <w:rFonts w:ascii="Times New Roman" w:eastAsia="Calibri" w:hAnsi="Times New Roman" w:cs="Times New Roman"/>
                <w:b/>
                <w:lang w:val="sq-AL"/>
              </w:rPr>
              <w:t>Sanksionet kundërvajtëse</w:t>
            </w:r>
          </w:p>
          <w:p w14:paraId="0BBC0FD7" w14:textId="77777777" w:rsidR="00F7358E" w:rsidRPr="00EB3802" w:rsidRDefault="00F7358E" w:rsidP="000914C9">
            <w:pPr>
              <w:snapToGrid w:val="0"/>
              <w:jc w:val="both"/>
              <w:rPr>
                <w:rFonts w:ascii="Times New Roman" w:eastAsia="MS Mincho" w:hAnsi="Times New Roman" w:cs="Times New Roman"/>
                <w:bCs/>
                <w:iCs/>
                <w:lang w:val="sq-AL"/>
              </w:rPr>
            </w:pPr>
          </w:p>
          <w:p w14:paraId="48B87044" w14:textId="77777777" w:rsidR="00F7358E" w:rsidRPr="00EB3802" w:rsidRDefault="00F7358E" w:rsidP="000914C9">
            <w:pPr>
              <w:snapToGrid w:val="0"/>
              <w:jc w:val="both"/>
              <w:rPr>
                <w:rFonts w:ascii="Times New Roman" w:eastAsia="MS Mincho" w:hAnsi="Times New Roman" w:cs="Times New Roman"/>
                <w:bCs/>
                <w:iCs/>
                <w:lang w:val="sq-AL"/>
              </w:rPr>
            </w:pPr>
            <w:r w:rsidRPr="00EB3802">
              <w:rPr>
                <w:rFonts w:ascii="Times New Roman" w:eastAsia="MS Mincho" w:hAnsi="Times New Roman" w:cs="Times New Roman"/>
                <w:lang w:val="sq-AL"/>
              </w:rPr>
              <w:t>1. Me</w:t>
            </w:r>
            <w:r w:rsidRPr="00EB3802">
              <w:rPr>
                <w:rFonts w:ascii="Times New Roman" w:eastAsia="MS Mincho" w:hAnsi="Times New Roman" w:cs="Times New Roman"/>
                <w:b/>
                <w:lang w:val="sq-AL"/>
              </w:rPr>
              <w:t xml:space="preserve"> </w:t>
            </w:r>
            <w:r w:rsidRPr="00EB3802">
              <w:rPr>
                <w:rFonts w:ascii="Times New Roman" w:eastAsia="MS Mincho" w:hAnsi="Times New Roman" w:cs="Times New Roman"/>
                <w:lang w:val="sq-AL"/>
              </w:rPr>
              <w:t xml:space="preserve">gjobë prej dhjetë mijë (10.000) euro dënohet personi juridik </w:t>
            </w:r>
            <w:r w:rsidRPr="00EB3802"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>nëse vepron në kundërshtim me nenin 6 dhe nenin 9.</w:t>
            </w:r>
          </w:p>
          <w:p w14:paraId="66B7AD47" w14:textId="77777777" w:rsidR="00F7358E" w:rsidRPr="00EB3802" w:rsidRDefault="00F7358E" w:rsidP="000914C9">
            <w:pPr>
              <w:snapToGrid w:val="0"/>
              <w:jc w:val="both"/>
              <w:rPr>
                <w:rFonts w:ascii="Times New Roman" w:eastAsia="MS Mincho" w:hAnsi="Times New Roman" w:cs="Times New Roman"/>
                <w:lang w:val="sq-AL"/>
              </w:rPr>
            </w:pPr>
          </w:p>
          <w:p w14:paraId="2F7F6F0F" w14:textId="77777777" w:rsidR="00F7358E" w:rsidRPr="00EB3802" w:rsidRDefault="00F7358E" w:rsidP="000914C9">
            <w:pPr>
              <w:snapToGrid w:val="0"/>
              <w:jc w:val="both"/>
              <w:rPr>
                <w:rFonts w:ascii="Times New Roman" w:eastAsia="MS Mincho" w:hAnsi="Times New Roman" w:cs="Times New Roman"/>
                <w:bCs/>
                <w:iCs/>
                <w:lang w:val="sq-AL"/>
              </w:rPr>
            </w:pPr>
            <w:r w:rsidRPr="00EB3802">
              <w:rPr>
                <w:rFonts w:ascii="Times New Roman" w:eastAsia="MS Mincho" w:hAnsi="Times New Roman" w:cs="Times New Roman"/>
                <w:lang w:val="sq-AL"/>
              </w:rPr>
              <w:t>2. Me</w:t>
            </w:r>
            <w:r w:rsidRPr="00EB3802">
              <w:rPr>
                <w:rFonts w:ascii="Times New Roman" w:eastAsia="MS Mincho" w:hAnsi="Times New Roman" w:cs="Times New Roman"/>
                <w:b/>
                <w:lang w:val="sq-AL"/>
              </w:rPr>
              <w:t xml:space="preserve"> </w:t>
            </w:r>
            <w:r w:rsidRPr="00EB3802">
              <w:rPr>
                <w:rFonts w:ascii="Times New Roman" w:eastAsia="MS Mincho" w:hAnsi="Times New Roman" w:cs="Times New Roman"/>
                <w:lang w:val="sq-AL"/>
              </w:rPr>
              <w:t xml:space="preserve">gjobë prej katër mijë (4.000) euro dënohet personi fizik që ushtron biznes individual </w:t>
            </w:r>
            <w:r w:rsidRPr="00EB3802"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>nëse vepron në kundërshtim me nenin 6 dhe nenin 9.</w:t>
            </w:r>
          </w:p>
          <w:p w14:paraId="46D46C5D" w14:textId="77777777" w:rsidR="00F7358E" w:rsidRPr="00EB3802" w:rsidRDefault="00F7358E" w:rsidP="000914C9">
            <w:pPr>
              <w:snapToGrid w:val="0"/>
              <w:jc w:val="both"/>
              <w:rPr>
                <w:rFonts w:ascii="Times New Roman" w:eastAsia="MS Mincho" w:hAnsi="Times New Roman" w:cs="Times New Roman"/>
                <w:lang w:val="sq-AL"/>
              </w:rPr>
            </w:pPr>
          </w:p>
          <w:p w14:paraId="5E4E046C" w14:textId="77777777" w:rsidR="00F7358E" w:rsidRPr="00EB3802" w:rsidRDefault="00F7358E" w:rsidP="000914C9">
            <w:pPr>
              <w:snapToGrid w:val="0"/>
              <w:jc w:val="both"/>
              <w:rPr>
                <w:rFonts w:ascii="Times New Roman" w:eastAsia="MS Mincho" w:hAnsi="Times New Roman" w:cs="Times New Roman"/>
                <w:bCs/>
                <w:iCs/>
                <w:lang w:val="sq-AL"/>
              </w:rPr>
            </w:pPr>
            <w:r w:rsidRPr="00EB3802">
              <w:rPr>
                <w:rFonts w:ascii="Times New Roman" w:eastAsia="MS Mincho" w:hAnsi="Times New Roman" w:cs="Times New Roman"/>
                <w:lang w:val="sq-AL"/>
              </w:rPr>
              <w:t>3. Me</w:t>
            </w:r>
            <w:r w:rsidRPr="00EB3802">
              <w:rPr>
                <w:rFonts w:ascii="Times New Roman" w:eastAsia="MS Mincho" w:hAnsi="Times New Roman" w:cs="Times New Roman"/>
                <w:b/>
                <w:lang w:val="sq-AL"/>
              </w:rPr>
              <w:t xml:space="preserve"> </w:t>
            </w:r>
            <w:r w:rsidRPr="00EB3802">
              <w:rPr>
                <w:rFonts w:ascii="Times New Roman" w:eastAsia="MS Mincho" w:hAnsi="Times New Roman" w:cs="Times New Roman"/>
                <w:lang w:val="sq-AL"/>
              </w:rPr>
              <w:t>gjobë prej një mijë e pesë qind (1.500) euro dënohet personi përgjegjës në personin juridik</w:t>
            </w:r>
            <w:r w:rsidRPr="00EB3802"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 xml:space="preserve"> nëse vepron në kundërshtim me nenin 6 dhe nenin 9.</w:t>
            </w:r>
          </w:p>
          <w:p w14:paraId="720C9EDD" w14:textId="77777777" w:rsidR="00F7358E" w:rsidRPr="00EB3802" w:rsidRDefault="00F7358E" w:rsidP="000914C9">
            <w:pPr>
              <w:snapToGrid w:val="0"/>
              <w:jc w:val="both"/>
              <w:rPr>
                <w:rFonts w:ascii="Times New Roman" w:eastAsia="MS Mincho" w:hAnsi="Times New Roman" w:cs="Times New Roman"/>
                <w:lang w:val="sq-AL"/>
              </w:rPr>
            </w:pPr>
          </w:p>
          <w:p w14:paraId="6937793F" w14:textId="77777777" w:rsidR="00F7358E" w:rsidRPr="00EB3802" w:rsidRDefault="00F7358E" w:rsidP="000914C9">
            <w:pPr>
              <w:snapToGrid w:val="0"/>
              <w:jc w:val="both"/>
              <w:rPr>
                <w:rFonts w:ascii="Times New Roman" w:eastAsia="MS Mincho" w:hAnsi="Times New Roman" w:cs="Times New Roman"/>
                <w:bCs/>
                <w:iCs/>
                <w:lang w:val="sq-AL"/>
              </w:rPr>
            </w:pPr>
            <w:r w:rsidRPr="00EB3802">
              <w:rPr>
                <w:rFonts w:ascii="Times New Roman" w:eastAsia="MS Mincho" w:hAnsi="Times New Roman" w:cs="Times New Roman"/>
                <w:lang w:val="sq-AL"/>
              </w:rPr>
              <w:t>4.</w:t>
            </w:r>
            <w:r w:rsidRPr="00EB3802">
              <w:rPr>
                <w:rFonts w:ascii="Times New Roman" w:eastAsia="MS Mincho" w:hAnsi="Times New Roman" w:cs="Times New Roman"/>
                <w:i/>
                <w:lang w:val="sq-AL"/>
              </w:rPr>
              <w:t xml:space="preserve"> </w:t>
            </w:r>
            <w:r w:rsidRPr="00EB3802">
              <w:rPr>
                <w:rFonts w:ascii="Times New Roman" w:eastAsia="MS Mincho" w:hAnsi="Times New Roman" w:cs="Times New Roman"/>
                <w:lang w:val="sq-AL"/>
              </w:rPr>
              <w:t xml:space="preserve">Me gjobë </w:t>
            </w:r>
            <w:r w:rsidRPr="00EB3802">
              <w:rPr>
                <w:rFonts w:ascii="Times New Roman" w:eastAsia="Times New Roman" w:hAnsi="Times New Roman" w:cs="Times New Roman"/>
                <w:lang w:val="sq-AL"/>
              </w:rPr>
              <w:t xml:space="preserve">prej një mijë (1.000) </w:t>
            </w:r>
            <w:r w:rsidRPr="00EB3802">
              <w:rPr>
                <w:rFonts w:ascii="Times New Roman" w:eastAsia="MS Mincho" w:hAnsi="Times New Roman" w:cs="Times New Roman"/>
                <w:lang w:val="sq-AL"/>
              </w:rPr>
              <w:t xml:space="preserve">euro dënohet për kundërvajtje personi fizik </w:t>
            </w:r>
            <w:r w:rsidRPr="00EB3802"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>nëse vepron në kundërshtim me nenin 6 dhe nenin 9.</w:t>
            </w:r>
          </w:p>
          <w:p w14:paraId="1033548F" w14:textId="77777777" w:rsidR="00F7358E" w:rsidRPr="00EB3802" w:rsidRDefault="00F7358E" w:rsidP="000914C9">
            <w:pPr>
              <w:snapToGrid w:val="0"/>
              <w:jc w:val="both"/>
              <w:rPr>
                <w:rFonts w:ascii="Times New Roman" w:eastAsia="MS Mincho" w:hAnsi="Times New Roman" w:cs="Times New Roman"/>
                <w:bCs/>
                <w:iCs/>
                <w:lang w:val="sq-AL"/>
              </w:rPr>
            </w:pPr>
          </w:p>
          <w:p w14:paraId="1C3FB04B" w14:textId="77777777" w:rsidR="00F7358E" w:rsidRPr="005649A3" w:rsidRDefault="00F7358E" w:rsidP="000914C9">
            <w:pPr>
              <w:snapToGrid w:val="0"/>
              <w:jc w:val="both"/>
              <w:rPr>
                <w:rFonts w:ascii="Times New Roman" w:eastAsia="MS Mincho" w:hAnsi="Times New Roman" w:cs="Times New Roman"/>
                <w:bCs/>
                <w:iCs/>
                <w:lang w:val="sq-AL"/>
              </w:rPr>
            </w:pPr>
            <w:r w:rsidRPr="00EB3802"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>5. Iniciimi i procedurës për revokimin e licencës së Farmacistit dhe/apo Licencës së Farmacisë në përputhje me ligjet përkatëse në rast të përsëritjes së shkeljeve të përcaktuara në nënparagrafët 1, 2, 3 dhe 4 të këtij neni.</w:t>
            </w:r>
            <w:r w:rsidRPr="005649A3"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 xml:space="preserve"> </w:t>
            </w:r>
          </w:p>
          <w:p w14:paraId="525AE584" w14:textId="77777777" w:rsidR="00F7358E" w:rsidRPr="005649A3" w:rsidRDefault="00F7358E" w:rsidP="000914C9">
            <w:pPr>
              <w:snapToGrid w:val="0"/>
              <w:jc w:val="both"/>
              <w:rPr>
                <w:rFonts w:ascii="Times New Roman" w:eastAsia="MS Mincho" w:hAnsi="Times New Roman" w:cs="Times New Roman"/>
                <w:bCs/>
                <w:iCs/>
                <w:lang w:val="sq-AL"/>
              </w:rPr>
            </w:pPr>
          </w:p>
          <w:p w14:paraId="0423E29B" w14:textId="77777777" w:rsidR="00F7358E" w:rsidRPr="005649A3" w:rsidRDefault="00F7358E" w:rsidP="000914C9">
            <w:pPr>
              <w:snapToGrid w:val="0"/>
              <w:jc w:val="both"/>
              <w:rPr>
                <w:rFonts w:ascii="Times New Roman" w:eastAsia="MS Mincho" w:hAnsi="Times New Roman" w:cs="Times New Roman"/>
                <w:bCs/>
                <w:iCs/>
                <w:lang w:val="sq-AL"/>
              </w:rPr>
            </w:pPr>
            <w:r w:rsidRPr="005649A3"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 xml:space="preserve">6.  Me iniciimin e procedurës për ndalesën absolute për operim në rast të përsëritjes së shkeljeve të përcaktuara në nënparagrafët 1,2,3 dhe 4 të këtij neni. </w:t>
            </w:r>
          </w:p>
          <w:p w14:paraId="6FB90C21" w14:textId="77777777" w:rsidR="00F7358E" w:rsidRPr="005649A3" w:rsidRDefault="00F7358E" w:rsidP="000914C9">
            <w:pPr>
              <w:snapToGrid w:val="0"/>
              <w:jc w:val="both"/>
              <w:rPr>
                <w:rFonts w:ascii="Times New Roman" w:eastAsia="MS Mincho" w:hAnsi="Times New Roman" w:cs="Times New Roman"/>
                <w:bCs/>
                <w:iCs/>
                <w:lang w:val="sq-AL"/>
              </w:rPr>
            </w:pPr>
          </w:p>
          <w:p w14:paraId="29133431" w14:textId="77777777" w:rsidR="00F7358E" w:rsidRPr="005649A3" w:rsidRDefault="00F7358E" w:rsidP="000914C9">
            <w:pPr>
              <w:snapToGrid w:val="0"/>
              <w:jc w:val="both"/>
              <w:rPr>
                <w:rFonts w:ascii="Times New Roman" w:eastAsia="MS Mincho" w:hAnsi="Times New Roman" w:cs="Times New Roman"/>
                <w:bCs/>
                <w:iCs/>
                <w:lang w:val="sq-AL"/>
              </w:rPr>
            </w:pPr>
            <w:r w:rsidRPr="005649A3"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>7. Sanksionet kundravajtëse të përshkruara në pikat 1 deri në 6 të këtij neni kryhen nga organi kompentet i Inspektoratit përkatës.</w:t>
            </w:r>
            <w:r w:rsidRPr="005649A3" w:rsidDel="00CF0B24"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 xml:space="preserve"> </w:t>
            </w:r>
          </w:p>
          <w:p w14:paraId="60C60C59" w14:textId="77777777" w:rsidR="00F7358E" w:rsidRPr="000D2840" w:rsidRDefault="00F7358E" w:rsidP="000914C9">
            <w:pPr>
              <w:jc w:val="both"/>
              <w:rPr>
                <w:rFonts w:ascii="Times New Roman" w:hAnsi="Times New Roman" w:cs="Times New Roman"/>
                <w:b/>
                <w:bCs/>
                <w:color w:val="7F7F7F" w:themeColor="text1" w:themeTint="80"/>
                <w:lang w:val="sq-AL"/>
              </w:rPr>
            </w:pPr>
          </w:p>
        </w:tc>
        <w:tc>
          <w:tcPr>
            <w:tcW w:w="5126" w:type="dxa"/>
            <w:shd w:val="clear" w:color="auto" w:fill="E2EFD9" w:themeFill="accent6" w:themeFillTint="33"/>
          </w:tcPr>
          <w:p w14:paraId="28D4964A" w14:textId="77777777" w:rsidR="00F7358E" w:rsidRPr="005649A3" w:rsidRDefault="00F7358E" w:rsidP="000914C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5649A3">
              <w:rPr>
                <w:rFonts w:ascii="Times New Roman" w:eastAsia="Calibri" w:hAnsi="Times New Roman" w:cs="Times New Roman"/>
                <w:b/>
                <w:lang w:val="sq-AL"/>
              </w:rPr>
              <w:lastRenderedPageBreak/>
              <w:t>Neni 17</w:t>
            </w:r>
          </w:p>
          <w:p w14:paraId="7E965432" w14:textId="77777777" w:rsidR="00F7358E" w:rsidRPr="005649A3" w:rsidRDefault="00F7358E" w:rsidP="000914C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5649A3">
              <w:rPr>
                <w:rFonts w:ascii="Times New Roman" w:eastAsia="Calibri" w:hAnsi="Times New Roman" w:cs="Times New Roman"/>
                <w:b/>
                <w:lang w:val="sq-AL"/>
              </w:rPr>
              <w:t>Sanksionet kundërvajtëse</w:t>
            </w:r>
          </w:p>
          <w:p w14:paraId="6828EEA8" w14:textId="77777777" w:rsidR="00F7358E" w:rsidRDefault="00F7358E" w:rsidP="000914C9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0558A3D6" w14:textId="77777777" w:rsidR="00F7358E" w:rsidRPr="005649A3" w:rsidRDefault="00F7358E" w:rsidP="000914C9">
            <w:pPr>
              <w:snapToGrid w:val="0"/>
              <w:jc w:val="both"/>
              <w:rPr>
                <w:rFonts w:ascii="Times New Roman" w:eastAsia="MS Mincho" w:hAnsi="Times New Roman" w:cs="Times New Roman"/>
                <w:bCs/>
                <w:iCs/>
                <w:lang w:val="sq-AL"/>
              </w:rPr>
            </w:pPr>
            <w:r w:rsidRPr="005649A3">
              <w:rPr>
                <w:rFonts w:ascii="Times New Roman" w:eastAsia="MS Mincho" w:hAnsi="Times New Roman" w:cs="Times New Roman"/>
                <w:lang w:val="sq-AL"/>
              </w:rPr>
              <w:t>1. Me</w:t>
            </w:r>
            <w:r w:rsidRPr="005649A3">
              <w:rPr>
                <w:rFonts w:ascii="Times New Roman" w:eastAsia="MS Mincho" w:hAnsi="Times New Roman" w:cs="Times New Roman"/>
                <w:b/>
                <w:lang w:val="sq-AL"/>
              </w:rPr>
              <w:t xml:space="preserve"> </w:t>
            </w:r>
            <w:r w:rsidRPr="005649A3">
              <w:rPr>
                <w:rFonts w:ascii="Times New Roman" w:eastAsia="MS Mincho" w:hAnsi="Times New Roman" w:cs="Times New Roman"/>
                <w:lang w:val="sq-AL"/>
              </w:rPr>
              <w:t xml:space="preserve">gjobë prej dhjetë mijë (10.000) euro dënohet personi juridik </w:t>
            </w:r>
            <w:r w:rsidRPr="005649A3"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>nëse vepron në kundërshtim me nenin</w:t>
            </w:r>
            <w:r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 xml:space="preserve"> 7 dhe nenin 11</w:t>
            </w:r>
            <w:r w:rsidRPr="005649A3"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>.</w:t>
            </w:r>
            <w:r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>*</w:t>
            </w:r>
          </w:p>
          <w:p w14:paraId="3492056F" w14:textId="77777777" w:rsidR="00F7358E" w:rsidRPr="005649A3" w:rsidRDefault="00F7358E" w:rsidP="000914C9">
            <w:pPr>
              <w:snapToGrid w:val="0"/>
              <w:jc w:val="both"/>
              <w:rPr>
                <w:rFonts w:ascii="Times New Roman" w:eastAsia="MS Mincho" w:hAnsi="Times New Roman" w:cs="Times New Roman"/>
                <w:lang w:val="sq-AL"/>
              </w:rPr>
            </w:pPr>
          </w:p>
          <w:p w14:paraId="60E7521B" w14:textId="77777777" w:rsidR="00F7358E" w:rsidRPr="005649A3" w:rsidRDefault="00F7358E" w:rsidP="000914C9">
            <w:pPr>
              <w:snapToGrid w:val="0"/>
              <w:jc w:val="both"/>
              <w:rPr>
                <w:rFonts w:ascii="Times New Roman" w:eastAsia="MS Mincho" w:hAnsi="Times New Roman" w:cs="Times New Roman"/>
                <w:bCs/>
                <w:iCs/>
                <w:lang w:val="sq-AL"/>
              </w:rPr>
            </w:pPr>
            <w:r w:rsidRPr="005649A3">
              <w:rPr>
                <w:rFonts w:ascii="Times New Roman" w:eastAsia="MS Mincho" w:hAnsi="Times New Roman" w:cs="Times New Roman"/>
                <w:lang w:val="sq-AL"/>
              </w:rPr>
              <w:t>2. Me</w:t>
            </w:r>
            <w:r w:rsidRPr="005649A3">
              <w:rPr>
                <w:rFonts w:ascii="Times New Roman" w:eastAsia="MS Mincho" w:hAnsi="Times New Roman" w:cs="Times New Roman"/>
                <w:b/>
                <w:lang w:val="sq-AL"/>
              </w:rPr>
              <w:t xml:space="preserve"> </w:t>
            </w:r>
            <w:r w:rsidRPr="005649A3">
              <w:rPr>
                <w:rFonts w:ascii="Times New Roman" w:eastAsia="MS Mincho" w:hAnsi="Times New Roman" w:cs="Times New Roman"/>
                <w:lang w:val="sq-AL"/>
              </w:rPr>
              <w:t xml:space="preserve">gjobë prej katër mijë (4.000) euro dënohet personi fizik që ushtron biznes individual </w:t>
            </w:r>
            <w:r w:rsidRPr="005649A3"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 xml:space="preserve">nëse </w:t>
            </w:r>
            <w:r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>vepron në kundërshtim me nenin 7 dhe nenin 11</w:t>
            </w:r>
            <w:r w:rsidRPr="005649A3"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>.</w:t>
            </w:r>
            <w:r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>*</w:t>
            </w:r>
          </w:p>
          <w:p w14:paraId="2545CD65" w14:textId="77777777" w:rsidR="00F7358E" w:rsidRPr="005649A3" w:rsidRDefault="00F7358E" w:rsidP="000914C9">
            <w:pPr>
              <w:snapToGrid w:val="0"/>
              <w:jc w:val="both"/>
              <w:rPr>
                <w:rFonts w:ascii="Times New Roman" w:eastAsia="MS Mincho" w:hAnsi="Times New Roman" w:cs="Times New Roman"/>
                <w:lang w:val="sq-AL"/>
              </w:rPr>
            </w:pPr>
          </w:p>
          <w:p w14:paraId="01E571A3" w14:textId="77777777" w:rsidR="00F7358E" w:rsidRPr="005649A3" w:rsidRDefault="00F7358E" w:rsidP="000914C9">
            <w:pPr>
              <w:snapToGrid w:val="0"/>
              <w:jc w:val="both"/>
              <w:rPr>
                <w:rFonts w:ascii="Times New Roman" w:eastAsia="MS Mincho" w:hAnsi="Times New Roman" w:cs="Times New Roman"/>
                <w:bCs/>
                <w:iCs/>
                <w:lang w:val="sq-AL"/>
              </w:rPr>
            </w:pPr>
            <w:r w:rsidRPr="005649A3">
              <w:rPr>
                <w:rFonts w:ascii="Times New Roman" w:eastAsia="MS Mincho" w:hAnsi="Times New Roman" w:cs="Times New Roman"/>
                <w:lang w:val="sq-AL"/>
              </w:rPr>
              <w:t>3. Me</w:t>
            </w:r>
            <w:r w:rsidRPr="005649A3">
              <w:rPr>
                <w:rFonts w:ascii="Times New Roman" w:eastAsia="MS Mincho" w:hAnsi="Times New Roman" w:cs="Times New Roman"/>
                <w:b/>
                <w:lang w:val="sq-AL"/>
              </w:rPr>
              <w:t xml:space="preserve"> </w:t>
            </w:r>
            <w:r w:rsidRPr="005649A3">
              <w:rPr>
                <w:rFonts w:ascii="Times New Roman" w:eastAsia="MS Mincho" w:hAnsi="Times New Roman" w:cs="Times New Roman"/>
                <w:lang w:val="sq-AL"/>
              </w:rPr>
              <w:t>gjobë prej një mijë e pesë qind (1.500) euro dënohet personi përgjegjës në personin juridik</w:t>
            </w:r>
            <w:r w:rsidRPr="005649A3"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 xml:space="preserve"> nëse </w:t>
            </w:r>
            <w:r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>vepron në kundërshtim me nenin 7 dhe nenin 11</w:t>
            </w:r>
            <w:r w:rsidRPr="005649A3"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>.</w:t>
            </w:r>
            <w:r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>*</w:t>
            </w:r>
          </w:p>
          <w:p w14:paraId="5A453ACD" w14:textId="77777777" w:rsidR="00F7358E" w:rsidRPr="005649A3" w:rsidRDefault="00F7358E" w:rsidP="000914C9">
            <w:pPr>
              <w:snapToGrid w:val="0"/>
              <w:jc w:val="both"/>
              <w:rPr>
                <w:rFonts w:ascii="Times New Roman" w:eastAsia="MS Mincho" w:hAnsi="Times New Roman" w:cs="Times New Roman"/>
                <w:lang w:val="sq-AL"/>
              </w:rPr>
            </w:pPr>
          </w:p>
          <w:p w14:paraId="2CEDBA58" w14:textId="77777777" w:rsidR="00F7358E" w:rsidRPr="005649A3" w:rsidRDefault="00F7358E" w:rsidP="000914C9">
            <w:pPr>
              <w:snapToGrid w:val="0"/>
              <w:jc w:val="both"/>
              <w:rPr>
                <w:rFonts w:ascii="Times New Roman" w:eastAsia="MS Mincho" w:hAnsi="Times New Roman" w:cs="Times New Roman"/>
                <w:bCs/>
                <w:iCs/>
                <w:lang w:val="sq-AL"/>
              </w:rPr>
            </w:pPr>
            <w:r w:rsidRPr="005649A3">
              <w:rPr>
                <w:rFonts w:ascii="Times New Roman" w:eastAsia="MS Mincho" w:hAnsi="Times New Roman" w:cs="Times New Roman"/>
                <w:lang w:val="sq-AL"/>
              </w:rPr>
              <w:t>4.</w:t>
            </w:r>
            <w:r w:rsidRPr="005649A3">
              <w:rPr>
                <w:rFonts w:ascii="Times New Roman" w:eastAsia="MS Mincho" w:hAnsi="Times New Roman" w:cs="Times New Roman"/>
                <w:i/>
                <w:lang w:val="sq-AL"/>
              </w:rPr>
              <w:t xml:space="preserve"> </w:t>
            </w:r>
            <w:r w:rsidRPr="005649A3">
              <w:rPr>
                <w:rFonts w:ascii="Times New Roman" w:eastAsia="MS Mincho" w:hAnsi="Times New Roman" w:cs="Times New Roman"/>
                <w:lang w:val="sq-AL"/>
              </w:rPr>
              <w:t xml:space="preserve">Me gjobë </w:t>
            </w:r>
            <w:r w:rsidRPr="005649A3">
              <w:rPr>
                <w:rFonts w:ascii="Times New Roman" w:eastAsia="Times New Roman" w:hAnsi="Times New Roman" w:cs="Times New Roman"/>
                <w:lang w:val="sq-AL"/>
              </w:rPr>
              <w:t xml:space="preserve">prej një mijë (1.000) </w:t>
            </w:r>
            <w:r w:rsidRPr="005649A3">
              <w:rPr>
                <w:rFonts w:ascii="Times New Roman" w:eastAsia="MS Mincho" w:hAnsi="Times New Roman" w:cs="Times New Roman"/>
                <w:lang w:val="sq-AL"/>
              </w:rPr>
              <w:t xml:space="preserve">euro dënohet për kundërvajtje personi fizik </w:t>
            </w:r>
            <w:r w:rsidRPr="005649A3"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 xml:space="preserve">nëse </w:t>
            </w:r>
            <w:r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>vepron në kundërshtim me nenin 7 dhe nenin 11</w:t>
            </w:r>
            <w:r w:rsidRPr="005649A3"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>.</w:t>
            </w:r>
            <w:r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>*</w:t>
            </w:r>
          </w:p>
          <w:p w14:paraId="371293B7" w14:textId="77777777" w:rsidR="00F7358E" w:rsidRPr="005649A3" w:rsidRDefault="00F7358E" w:rsidP="000914C9">
            <w:pPr>
              <w:snapToGrid w:val="0"/>
              <w:jc w:val="both"/>
              <w:rPr>
                <w:rFonts w:ascii="Times New Roman" w:eastAsia="MS Mincho" w:hAnsi="Times New Roman" w:cs="Times New Roman"/>
                <w:bCs/>
                <w:iCs/>
                <w:lang w:val="sq-AL"/>
              </w:rPr>
            </w:pPr>
          </w:p>
          <w:p w14:paraId="5EB9B3D6" w14:textId="77777777" w:rsidR="00F7358E" w:rsidRDefault="00F7358E" w:rsidP="000914C9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5649A3">
              <w:rPr>
                <w:rFonts w:ascii="Times New Roman" w:eastAsia="MS Mincho" w:hAnsi="Times New Roman" w:cs="Times New Roman"/>
                <w:bCs/>
                <w:iCs/>
                <w:lang w:val="sq-AL"/>
              </w:rPr>
              <w:t>5. Iniciimi i procedurës për revokimin e Licencës së Farmacisë në përputhje me ligjet përkatëse në rast të përsëritjes së shkeljeve të përcaktuara në nënparagrafët 1, 2, 3 dhe 4 të këtij neni</w:t>
            </w:r>
          </w:p>
          <w:p w14:paraId="15350936" w14:textId="77777777" w:rsidR="00F7358E" w:rsidRDefault="00F7358E" w:rsidP="000914C9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2EAF28BF" w14:textId="77777777" w:rsidR="00F7358E" w:rsidRPr="00BA0EEB" w:rsidRDefault="00F7358E" w:rsidP="00F7358E">
            <w:pPr>
              <w:pStyle w:val="ListParagraph"/>
              <w:numPr>
                <w:ilvl w:val="0"/>
                <w:numId w:val="6"/>
              </w:numPr>
              <w:ind w:left="151" w:hanging="151"/>
              <w:rPr>
                <w:rFonts w:ascii="Times New Roman" w:hAnsi="Times New Roman" w:cs="Times New Roman"/>
                <w:bCs/>
                <w:lang w:val="sq-AL"/>
              </w:rPr>
            </w:pPr>
            <w:r>
              <w:rPr>
                <w:rFonts w:ascii="Times New Roman" w:hAnsi="Times New Roman" w:cs="Times New Roman"/>
                <w:bCs/>
                <w:lang w:val="sq-AL"/>
              </w:rPr>
              <w:t>Shënim. . Tek paragrafët 1, 2 , 3 dhe 4 të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b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>het diferencim n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vler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>n e gjobave p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>r qarkullues me shumic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dhe qarkullues me pakic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>. Gjobat duhet t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jen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m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t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ul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>ta p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>r qarkulluesit me pakic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p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>r shkak t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fuqis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m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t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ul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>t ekonomike. T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harmonizohen me Ligjin p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>r Kund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>rvajtje p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>r t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siguruar ekzekutimin efikas t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tyre.</w:t>
            </w:r>
          </w:p>
          <w:p w14:paraId="10BAEFD8" w14:textId="77777777" w:rsidR="00F7358E" w:rsidRDefault="00F7358E" w:rsidP="000914C9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6E8FFDBE" w14:textId="77777777" w:rsidR="00F7358E" w:rsidRPr="000D2840" w:rsidRDefault="00F7358E" w:rsidP="000914C9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4131" w:type="dxa"/>
          </w:tcPr>
          <w:p w14:paraId="25065EC8" w14:textId="77777777" w:rsidR="00F7358E" w:rsidRDefault="00F7358E" w:rsidP="000914C9">
            <w:pPr>
              <w:rPr>
                <w:rFonts w:ascii="Times New Roman" w:hAnsi="Times New Roman" w:cs="Times New Roman"/>
                <w:b/>
                <w:bCs/>
                <w:i/>
                <w:lang w:val="sq-AL"/>
              </w:rPr>
            </w:pPr>
          </w:p>
          <w:p w14:paraId="006EE2C5" w14:textId="77777777" w:rsidR="00F7358E" w:rsidRDefault="00F7358E" w:rsidP="000914C9">
            <w:pPr>
              <w:rPr>
                <w:rFonts w:ascii="Times New Roman" w:hAnsi="Times New Roman" w:cs="Times New Roman"/>
                <w:b/>
                <w:bCs/>
                <w:i/>
                <w:lang w:val="sq-AL"/>
              </w:rPr>
            </w:pPr>
          </w:p>
          <w:p w14:paraId="38FE5750" w14:textId="77777777" w:rsidR="00F7358E" w:rsidRDefault="00F7358E" w:rsidP="000914C9">
            <w:pPr>
              <w:rPr>
                <w:rFonts w:ascii="Times New Roman" w:hAnsi="Times New Roman" w:cs="Times New Roman"/>
                <w:b/>
                <w:bCs/>
                <w:i/>
                <w:lang w:val="sq-AL"/>
              </w:rPr>
            </w:pPr>
          </w:p>
          <w:p w14:paraId="1068774D" w14:textId="77777777" w:rsidR="00F7358E" w:rsidRDefault="00F7358E" w:rsidP="00F7358E">
            <w:pPr>
              <w:pStyle w:val="ListParagraph"/>
              <w:numPr>
                <w:ilvl w:val="0"/>
                <w:numId w:val="5"/>
              </w:numPr>
              <w:ind w:left="331" w:hanging="331"/>
              <w:rPr>
                <w:rFonts w:ascii="Times New Roman" w:hAnsi="Times New Roman" w:cs="Times New Roman"/>
                <w:bCs/>
                <w:lang w:val="sq-AL"/>
              </w:rPr>
            </w:pPr>
            <w:r>
              <w:rPr>
                <w:rFonts w:ascii="Times New Roman" w:hAnsi="Times New Roman" w:cs="Times New Roman"/>
                <w:bCs/>
                <w:lang w:val="sq-AL"/>
              </w:rPr>
              <w:t xml:space="preserve">Gjoba i referohet gabimisht neneve të projektligjit. Të përmirësohet si në propozimin e OFK. </w:t>
            </w:r>
          </w:p>
          <w:p w14:paraId="12B57EBF" w14:textId="77777777" w:rsidR="00F7358E" w:rsidRDefault="00F7358E" w:rsidP="000914C9">
            <w:pPr>
              <w:pStyle w:val="ListParagraph"/>
              <w:rPr>
                <w:rFonts w:ascii="Times New Roman" w:hAnsi="Times New Roman" w:cs="Times New Roman"/>
                <w:bCs/>
                <w:lang w:val="sq-AL"/>
              </w:rPr>
            </w:pPr>
          </w:p>
          <w:p w14:paraId="57CC1A96" w14:textId="77777777" w:rsidR="00F7358E" w:rsidRDefault="00F7358E" w:rsidP="00F7358E">
            <w:pPr>
              <w:pStyle w:val="ListParagraph"/>
              <w:numPr>
                <w:ilvl w:val="0"/>
                <w:numId w:val="5"/>
              </w:numPr>
              <w:ind w:left="331" w:hanging="331"/>
              <w:rPr>
                <w:rFonts w:ascii="Times New Roman" w:hAnsi="Times New Roman" w:cs="Times New Roman"/>
                <w:bCs/>
                <w:lang w:val="sq-AL"/>
              </w:rPr>
            </w:pPr>
            <w:r>
              <w:rPr>
                <w:rFonts w:ascii="Times New Roman" w:hAnsi="Times New Roman" w:cs="Times New Roman"/>
                <w:bCs/>
                <w:lang w:val="sq-AL"/>
              </w:rPr>
              <w:t xml:space="preserve">Gjoba i referohet gabimisht neneve të projektligjit. Të përmirësohet si në propozimin e OFK. </w:t>
            </w:r>
          </w:p>
          <w:p w14:paraId="4C24C4FB" w14:textId="77777777" w:rsidR="00F7358E" w:rsidRPr="00D65007" w:rsidRDefault="00F7358E" w:rsidP="000914C9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  <w:p w14:paraId="39A5BEE1" w14:textId="77777777" w:rsidR="00F7358E" w:rsidRDefault="00F7358E" w:rsidP="00F7358E">
            <w:pPr>
              <w:pStyle w:val="ListParagraph"/>
              <w:numPr>
                <w:ilvl w:val="0"/>
                <w:numId w:val="5"/>
              </w:numPr>
              <w:ind w:left="331" w:hanging="331"/>
              <w:rPr>
                <w:rFonts w:ascii="Times New Roman" w:hAnsi="Times New Roman" w:cs="Times New Roman"/>
                <w:bCs/>
                <w:lang w:val="sq-AL"/>
              </w:rPr>
            </w:pPr>
            <w:r>
              <w:rPr>
                <w:rFonts w:ascii="Times New Roman" w:hAnsi="Times New Roman" w:cs="Times New Roman"/>
                <w:bCs/>
                <w:lang w:val="sq-AL"/>
              </w:rPr>
              <w:t xml:space="preserve">Gjoba i referohet gabimisht neneve të projektligjit. Të përmirësohet si në propozimin e OFK. </w:t>
            </w:r>
          </w:p>
          <w:p w14:paraId="26989495" w14:textId="77777777" w:rsidR="00F7358E" w:rsidRPr="00D65007" w:rsidRDefault="00F7358E" w:rsidP="000914C9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  <w:p w14:paraId="4688DF9C" w14:textId="77777777" w:rsidR="00F7358E" w:rsidRDefault="00F7358E" w:rsidP="00F7358E">
            <w:pPr>
              <w:pStyle w:val="ListParagraph"/>
              <w:numPr>
                <w:ilvl w:val="0"/>
                <w:numId w:val="5"/>
              </w:numPr>
              <w:ind w:left="331" w:hanging="331"/>
              <w:rPr>
                <w:rFonts w:ascii="Times New Roman" w:hAnsi="Times New Roman" w:cs="Times New Roman"/>
                <w:bCs/>
                <w:lang w:val="sq-AL"/>
              </w:rPr>
            </w:pPr>
            <w:r>
              <w:rPr>
                <w:rFonts w:ascii="Times New Roman" w:hAnsi="Times New Roman" w:cs="Times New Roman"/>
                <w:bCs/>
                <w:lang w:val="sq-AL"/>
              </w:rPr>
              <w:t xml:space="preserve">Gjoba i referohet gabimisht neneve të projektligjit. Të përmirësohet si në propozimin e OFK. </w:t>
            </w:r>
          </w:p>
          <w:p w14:paraId="0BF74874" w14:textId="77777777" w:rsidR="00F7358E" w:rsidRPr="00D65007" w:rsidRDefault="00F7358E" w:rsidP="000914C9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  <w:p w14:paraId="28A34962" w14:textId="77777777" w:rsidR="00F7358E" w:rsidRDefault="00F7358E" w:rsidP="00F7358E">
            <w:pPr>
              <w:pStyle w:val="ListParagraph"/>
              <w:numPr>
                <w:ilvl w:val="0"/>
                <w:numId w:val="5"/>
              </w:numPr>
              <w:ind w:left="331" w:hanging="331"/>
              <w:rPr>
                <w:rFonts w:ascii="Times New Roman" w:hAnsi="Times New Roman" w:cs="Times New Roman"/>
                <w:bCs/>
                <w:lang w:val="sq-AL"/>
              </w:rPr>
            </w:pPr>
            <w:r>
              <w:rPr>
                <w:rFonts w:ascii="Times New Roman" w:hAnsi="Times New Roman" w:cs="Times New Roman"/>
                <w:bCs/>
                <w:lang w:val="sq-AL"/>
              </w:rPr>
              <w:t>Tek pargrafi 5 i nenit 17 të hiqet sanksioni për revokimin e licencës së Farmacistit pasi që farmacistët në shumë raste nuk janë përgjegjës për çmimin e shitjes. Kjo rregullohet me personin përgjegjës.</w:t>
            </w:r>
          </w:p>
          <w:p w14:paraId="1B42F3C5" w14:textId="77777777" w:rsidR="00F7358E" w:rsidRPr="00BA0EEB" w:rsidRDefault="00F7358E" w:rsidP="000914C9">
            <w:pPr>
              <w:pStyle w:val="ListParagraph"/>
              <w:rPr>
                <w:rFonts w:ascii="Times New Roman" w:hAnsi="Times New Roman" w:cs="Times New Roman"/>
                <w:bCs/>
                <w:lang w:val="sq-AL"/>
              </w:rPr>
            </w:pPr>
          </w:p>
          <w:p w14:paraId="728E84C3" w14:textId="77777777" w:rsidR="00F7358E" w:rsidRPr="00BA0EEB" w:rsidRDefault="00F7358E" w:rsidP="00F7358E">
            <w:pPr>
              <w:pStyle w:val="ListParagraph"/>
              <w:numPr>
                <w:ilvl w:val="0"/>
                <w:numId w:val="6"/>
              </w:numPr>
              <w:ind w:left="331" w:hanging="331"/>
              <w:rPr>
                <w:rFonts w:ascii="Times New Roman" w:hAnsi="Times New Roman" w:cs="Times New Roman"/>
                <w:bCs/>
                <w:lang w:val="sq-AL"/>
              </w:rPr>
            </w:pPr>
            <w:r>
              <w:rPr>
                <w:rFonts w:ascii="Times New Roman" w:hAnsi="Times New Roman" w:cs="Times New Roman"/>
                <w:bCs/>
                <w:lang w:val="sq-AL"/>
              </w:rPr>
              <w:t>Shënim. Tek paragrafët 1, 2 , 3 dhe 4 të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b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>het diferencim n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vler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>n e gjobave p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>r qarkullues me shumic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dhe qarkullues me pakic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>. Gjobat duhet t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jen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m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t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ul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>ta p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r qarkulluesit me 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lastRenderedPageBreak/>
              <w:t>pakic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p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>r shkak t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fuqis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m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t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ul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>t ekonomike. T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harmonizohen me Ligjin p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>r Kund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>rvajtje p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>r t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siguruar ekzekutimin efikas t</w:t>
            </w:r>
            <w:r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A0EEB">
              <w:rPr>
                <w:rFonts w:ascii="Times New Roman" w:hAnsi="Times New Roman" w:cs="Times New Roman"/>
                <w:bCs/>
                <w:lang w:val="sq-AL"/>
              </w:rPr>
              <w:t xml:space="preserve"> tyre.</w:t>
            </w:r>
          </w:p>
          <w:p w14:paraId="60880F85" w14:textId="77777777" w:rsidR="00F7358E" w:rsidRPr="00BA0EEB" w:rsidRDefault="00F7358E" w:rsidP="000914C9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  <w:p w14:paraId="5EC843B2" w14:textId="77777777" w:rsidR="00F7358E" w:rsidRPr="00A668F3" w:rsidRDefault="00F7358E" w:rsidP="000914C9">
            <w:pPr>
              <w:pStyle w:val="ListParagraph"/>
              <w:rPr>
                <w:rFonts w:ascii="Times New Roman" w:hAnsi="Times New Roman" w:cs="Times New Roman"/>
                <w:bCs/>
                <w:lang w:val="sq-AL"/>
              </w:rPr>
            </w:pPr>
          </w:p>
        </w:tc>
      </w:tr>
    </w:tbl>
    <w:p w14:paraId="1AEAAED1" w14:textId="77777777" w:rsidR="0050737C" w:rsidRDefault="0050737C"/>
    <w:sectPr w:rsidR="0050737C" w:rsidSect="00F735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BA4"/>
    <w:multiLevelType w:val="hybridMultilevel"/>
    <w:tmpl w:val="D198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555DA"/>
    <w:multiLevelType w:val="hybridMultilevel"/>
    <w:tmpl w:val="97D2C39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D4102"/>
    <w:multiLevelType w:val="hybridMultilevel"/>
    <w:tmpl w:val="AB28B43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A2691"/>
    <w:multiLevelType w:val="hybridMultilevel"/>
    <w:tmpl w:val="85DE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E18F5"/>
    <w:multiLevelType w:val="multilevel"/>
    <w:tmpl w:val="1F50A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BA2613"/>
    <w:multiLevelType w:val="hybridMultilevel"/>
    <w:tmpl w:val="986CEEB6"/>
    <w:lvl w:ilvl="0" w:tplc="CAC45AA4">
      <w:start w:val="1"/>
      <w:numFmt w:val="bullet"/>
      <w:lvlText w:val=""/>
      <w:lvlJc w:val="left"/>
      <w:pPr>
        <w:ind w:left="691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num w:numId="1" w16cid:durableId="143158277">
    <w:abstractNumId w:val="3"/>
  </w:num>
  <w:num w:numId="2" w16cid:durableId="144666771">
    <w:abstractNumId w:val="4"/>
  </w:num>
  <w:num w:numId="3" w16cid:durableId="2114858524">
    <w:abstractNumId w:val="1"/>
  </w:num>
  <w:num w:numId="4" w16cid:durableId="359361845">
    <w:abstractNumId w:val="2"/>
  </w:num>
  <w:num w:numId="5" w16cid:durableId="37897836">
    <w:abstractNumId w:val="0"/>
  </w:num>
  <w:num w:numId="6" w16cid:durableId="1666401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3D2"/>
    <w:rsid w:val="00237979"/>
    <w:rsid w:val="0050737C"/>
    <w:rsid w:val="008D63D2"/>
    <w:rsid w:val="00EB3802"/>
    <w:rsid w:val="00EF03FB"/>
    <w:rsid w:val="00F03E62"/>
    <w:rsid w:val="00F7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9A6C"/>
  <w15:chartTrackingRefBased/>
  <w15:docId w15:val="{5B10D0AE-B85C-445D-A23A-F1AAC0BF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58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1247</Words>
  <Characters>7111</Characters>
  <Application>Microsoft Office Word</Application>
  <DocSecurity>0</DocSecurity>
  <Lines>59</Lines>
  <Paragraphs>16</Paragraphs>
  <ScaleCrop>false</ScaleCrop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2023-02-16T13:33:00Z</dcterms:created>
  <dcterms:modified xsi:type="dcterms:W3CDTF">2023-02-16T13:33:00Z</dcterms:modified>
</cp:coreProperties>
</file>