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4706"/>
        <w:gridCol w:w="2182"/>
      </w:tblGrid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  <w:tc>
          <w:tcPr>
            <w:tcW w:w="660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TEMPLATE PËR DËRGIMIN E KOMENTEVE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</w:tr>
    </w:tbl>
    <w:p w:rsidR="00D63895" w:rsidRDefault="00D63895"/>
    <w:tbl>
      <w:tblPr>
        <w:tblStyle w:val="temptablestyle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5907"/>
      </w:tblGrid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Titulli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draft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ligjit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dokumenti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konceptit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strategjia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ndonjë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akt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konsulëen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publike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PROJEKTLIGJI PËR ÇMIMIN E PRODUKTEVE MEDICINALE   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Entiteti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publik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Ministria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Shendetesise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Emri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kontribuesit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organizatë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/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individ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)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C07A8E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Arber Merovci – Messer Medica </w:t>
            </w:r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përgjithshëm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nderuar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</w:p>
          <w:p w:rsidR="00D63895" w:rsidRDefault="00C07A8E" w:rsidP="00C07A8E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Projektligji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për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çmimin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produkteve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med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icinale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është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domosdoshëm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por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gram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se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me</w:t>
            </w:r>
            <w:proofErr w:type="gram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permiresimin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disa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mangesive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arrihej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rregullimin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sistemit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akteret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ta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kthenin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dinjitetin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artikullin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specifik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ndonjë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pjesë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draftit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07A8E" w:rsidRPr="0046080E" w:rsidRDefault="00C07A8E" w:rsidP="00C07A8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Neni 9</w:t>
            </w:r>
          </w:p>
          <w:p w:rsidR="00C07A8E" w:rsidRDefault="00C07A8E" w:rsidP="00C07A8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Kalkulimi i çmimeve me shumicë</w:t>
            </w:r>
          </w:p>
          <w:p w:rsidR="00C07A8E" w:rsidRDefault="00C07A8E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4.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Në rast të numrit të ndryshëm të njësive/vëllimit për paketim, për bazë krahasimi do të merret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kalkulimi  i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bazuar në njësi. Do të merret parasysh paketimi me numrin më të afërt të njësive. Së pari, do të llogaritet çmimi i referencës për njësi të produktit medicinal dhe pastaj numri i njësive të produktit medicinal.</w:t>
            </w:r>
          </w:p>
          <w:p w:rsidR="005E22F5" w:rsidRDefault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Pr="00EE033F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>11.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Pjesë përbëse e çmimit me shumicë është vlera e marzhës të qarkullimit me shumicë dhe shpenzimeve të tjera vartëse jo më shumë se 7%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që  llogaritet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duke i shtuar çmimit të importit CIP, marzhin e qarkullimit me shumicë dhe shpenzimet e ndërlidhura, por jo më shumë se sa vlera e kalkuluar sipas pikës 5, 6, 7 apo 8 të këtij neni.</w:t>
            </w:r>
          </w:p>
          <w:p w:rsidR="005E22F5" w:rsidRDefault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C07A8E" w:rsidRDefault="00C07A8E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:</w:t>
            </w:r>
          </w:p>
          <w:p w:rsidR="00D63895" w:rsidRDefault="00C07A8E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cmimet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shumice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menyre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po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trajtohet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cmim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njesi</w:t>
            </w:r>
            <w:proofErr w:type="spellEnd"/>
            <w:r w:rsidR="005E22F5"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  <w:p w:rsidR="00C07A8E" w:rsidRDefault="00C07A8E"/>
          <w:p w:rsidR="00D63895" w:rsidRDefault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Duke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parasysh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stabile.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importohet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oksigjenit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momentin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shitjes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vlere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humbjes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gjate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transportit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dorezimit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perckatuar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>fitimit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  <w:p w:rsidR="00D6389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Po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shpenzimeve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cdo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tjeter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mirembahet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ambalazha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br/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Prandaj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form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veqant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sipas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kesaj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forme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>Personi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kontaktues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>Arber Merovci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Email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kontaktues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>messermedicallc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@gmail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.com  </w:t>
            </w:r>
          </w:p>
        </w:tc>
      </w:tr>
    </w:tbl>
    <w:p w:rsidR="00D63895" w:rsidRDefault="00D63895"/>
    <w:p w:rsidR="00D63895" w:rsidRDefault="005E22F5">
      <w:pPr>
        <w:spacing w:before="1" w:after="1"/>
      </w:pPr>
      <w:proofErr w:type="spellStart"/>
      <w:proofErr w:type="gramStart"/>
      <w:r>
        <w:rPr>
          <w:rFonts w:ascii="Cambria (Headings)" w:hAnsi="Cambria (Headings)" w:cs="Cambria (Headings)"/>
          <w:sz w:val="22"/>
          <w:szCs w:val="22"/>
        </w:rPr>
        <w:t>Ky</w:t>
      </w:r>
      <w:proofErr w:type="spellEnd"/>
      <w:proofErr w:type="gram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konsultim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publik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nuk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permbanë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dokumente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shtesë</w:t>
      </w:r>
      <w:proofErr w:type="spellEnd"/>
    </w:p>
    <w:p w:rsidR="00D63895" w:rsidRDefault="00D63895"/>
    <w:p w:rsidR="00D63895" w:rsidRDefault="00D63895"/>
    <w:p w:rsidR="00D63895" w:rsidRDefault="00D6389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D63895" w:rsidRDefault="00D63895"/>
    <w:p w:rsidR="00D63895" w:rsidRDefault="00D63895"/>
    <w:p w:rsidR="005E22F5" w:rsidRDefault="005E22F5"/>
    <w:p w:rsidR="005E22F5" w:rsidRDefault="005E22F5"/>
    <w:p w:rsidR="005E22F5" w:rsidRDefault="005E22F5"/>
    <w:p w:rsidR="00D63895" w:rsidRDefault="00D63895"/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4296"/>
        <w:gridCol w:w="2196"/>
      </w:tblGrid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  <w:tc>
          <w:tcPr>
            <w:tcW w:w="600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TEMPLATE FOR SENDING COMMENTS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</w:tr>
    </w:tbl>
    <w:p w:rsidR="00D63895" w:rsidRDefault="00D63895"/>
    <w:tbl>
      <w:tblPr>
        <w:tblStyle w:val="temptablestyle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5719"/>
      </w:tblGrid>
      <w:tr w:rsidR="00D6389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Title of the draft Law/concept document/Strategy or other act under public consultation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THE DRAFT LAW ON MEDICINAL PRODUCTS PRICING   </w:t>
            </w:r>
          </w:p>
        </w:tc>
      </w:tr>
      <w:tr w:rsidR="00D6389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Public body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Ministry of Health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>Name of contributor (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organisation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/individual)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Arber Merovci – Messer Medica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General comments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nderuar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</w:p>
          <w:p w:rsidR="005E22F5" w:rsidRDefault="005E22F5" w:rsidP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Projektligji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për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çmimin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produkteve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med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icinale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është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domosdoshëm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por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gram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se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me</w:t>
            </w:r>
            <w:proofErr w:type="gram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permiresimin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disa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mangesive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arrihej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rregullimin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sistemit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akteret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ta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kthenin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dinjitetin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Comments on specific articles or parts of draft act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Pr="0046080E" w:rsidRDefault="005E22F5" w:rsidP="005E22F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Neni 9</w:t>
            </w:r>
          </w:p>
          <w:p w:rsidR="005E22F5" w:rsidRDefault="005E22F5" w:rsidP="005E22F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Kalkulimi i çmimeve me shumicë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4.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Në rast të numrit të ndryshëm të njësive/vëllimit për paketim, për bazë krahasimi do të merret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kalkulimi  i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bazuar në njësi. Do të merret parasysh paketimi me numrin më të afërt të njësive. Së pari, do të llogaritet çmimi i referencës për njësi të produktit medicinal dhe pastaj numri i njësive të produktit medicinal.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Pr="00EE033F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>11.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Pjesë përbëse e çmimit me shumicë është vlera e marzhës të qarkullimit me shumicë dhe shpenzimeve të tjera vartëse jo më shumë se 7%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që  llogaritet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duke i shtuar çmimit të importit CIP, marzhin e qarkullimit me shumicë dhe shpenzimet e ndërlidhura, por jo më shumë se sa vlera e kalkuluar sipas pikës 5, 6, 7 apo 8 të këtij neni.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: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cmimet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shumice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menyre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cmim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  <w:p w:rsidR="005E22F5" w:rsidRDefault="005E22F5" w:rsidP="005E22F5"/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Duke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parasysh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stabile.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importohet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oksigjenit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momentin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shitjes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vlere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humbjes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gjate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transportit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dorezimit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>perckatuar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fitimit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Po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shpenzimeve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cdo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tjeter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mirembahet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ambalazha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br/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Prandaj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form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veqant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sipas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kesaj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forme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 xml:space="preserve">Contact person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Arber Merovci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Email person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messermedicallc@gmail.com  </w:t>
            </w:r>
          </w:p>
        </w:tc>
      </w:tr>
    </w:tbl>
    <w:p w:rsidR="00D63895" w:rsidRDefault="00D63895"/>
    <w:p w:rsidR="00D63895" w:rsidRDefault="005E22F5">
      <w:pPr>
        <w:spacing w:before="1" w:after="1"/>
      </w:pPr>
      <w:r>
        <w:rPr>
          <w:rFonts w:ascii="Cambria (Headings)" w:hAnsi="Cambria (Headings)" w:cs="Cambria (Headings)"/>
          <w:sz w:val="22"/>
          <w:szCs w:val="22"/>
        </w:rPr>
        <w:t>This consultations does not include any additional documents</w:t>
      </w:r>
    </w:p>
    <w:p w:rsidR="00D63895" w:rsidRDefault="00D63895"/>
    <w:p w:rsidR="00D63895" w:rsidRDefault="00D63895"/>
    <w:p w:rsidR="00D63895" w:rsidRDefault="00D63895"/>
    <w:p w:rsidR="00D63895" w:rsidRDefault="00D63895"/>
    <w:p w:rsidR="00D63895" w:rsidRDefault="00D6389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/>
    <w:p w:rsidR="005E22F5" w:rsidRDefault="005E22F5">
      <w:bookmarkStart w:id="0" w:name="_GoBack"/>
      <w:bookmarkEnd w:id="0"/>
    </w:p>
    <w:p w:rsidR="00D63895" w:rsidRDefault="00D63895"/>
    <w:tbl>
      <w:tblPr>
        <w:tblStyle w:val="temptablesty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4296"/>
        <w:gridCol w:w="2196"/>
      </w:tblGrid>
      <w:tr w:rsidR="00D63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  <w:tc>
          <w:tcPr>
            <w:tcW w:w="600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TEMPLATE FOR SENDING COMMENTS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0" w:space="0" w:color="99CCFF"/>
              <w:left w:val="single" w:sz="0" w:space="0" w:color="99CCFF"/>
              <w:bottom w:val="single" w:sz="0" w:space="0" w:color="99CCFF"/>
              <w:right w:val="single" w:sz="0" w:space="0" w:color="99CCFF"/>
            </w:tcBorders>
            <w:shd w:val="clear" w:color="auto" w:fill="99CCFF"/>
          </w:tcPr>
          <w:p w:rsidR="00D63895" w:rsidRDefault="00D63895"/>
        </w:tc>
      </w:tr>
    </w:tbl>
    <w:p w:rsidR="00D63895" w:rsidRDefault="00D63895"/>
    <w:tbl>
      <w:tblPr>
        <w:tblStyle w:val="temptablestyle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5719"/>
      </w:tblGrid>
      <w:tr w:rsidR="00D6389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Title of the draft Law/concept document/Strategy or other act under public consultation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NACRT ZAKONA O CENAMA MEDICINSKIH PROIZVODA   </w:t>
            </w:r>
          </w:p>
        </w:tc>
      </w:tr>
      <w:tr w:rsidR="00D6389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Public body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63895" w:rsidRDefault="005E22F5"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Ministarstvo</w:t>
            </w:r>
            <w:proofErr w:type="spellEnd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>Zdravstva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>Name of contributor (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organisation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/individual)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b/>
                <w:sz w:val="22"/>
                <w:szCs w:val="22"/>
              </w:rPr>
              <w:t xml:space="preserve">Arber Merovci – Messer Medica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General comments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nderuar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</w:p>
          <w:p w:rsidR="005E22F5" w:rsidRDefault="005E22F5" w:rsidP="005E22F5"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Projektligji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për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çmimin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produkteve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med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icinale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është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domosdoshëm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por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gramStart"/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>se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 w:rsidRPr="00C07A8E"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t>me</w:t>
            </w:r>
            <w:proofErr w:type="gram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permiresimin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disa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mangesive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arrihej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pune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rregullimin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sistemit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akteret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do ta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kthenin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dinjitetin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Comments on specific articles or parts of draft act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Pr="0046080E" w:rsidRDefault="005E22F5" w:rsidP="005E22F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Neni 9</w:t>
            </w:r>
          </w:p>
          <w:p w:rsidR="005E22F5" w:rsidRDefault="005E22F5" w:rsidP="005E22F5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 w:rsidRPr="0046080E"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  <w:t>Kalkulimi i çmimeve me shumicë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4.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Në rast të numrit të ndryshëm të njësive/vëllimit për paketim, për bazë krahasimi do të merret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kalkulimi  i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bazuar në njësi. Do të merret parasysh paketimi me numrin më të afërt të njësive. Së pari, do të llogaritet çmimi i referencës për njësi të produktit medicinal dhe pastaj numri i njësive të produktit medicinal.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Pr="00EE033F" w:rsidRDefault="005E22F5" w:rsidP="005E22F5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>11.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</w:t>
            </w:r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Pjesë përbëse e çmimit me shumicë është vlera e marzhës të qarkullimit me shumicë dhe shpenzimeve të tjera vartëse jo më shumë se 7% </w:t>
            </w:r>
            <w:proofErr w:type="gramStart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që  llogaritet</w:t>
            </w:r>
            <w:proofErr w:type="gramEnd"/>
            <w:r w:rsidRPr="0046080E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 duke i shtuar çmimit të importit CIP, marzhin e qarkullimit me shumicë dhe shpenzimet e ndërlidhura, por jo më shumë se sa vlera e kalkuluar sipas pikës 5, 6, 7 apo 8 të këtij neni.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Koment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:</w:t>
            </w:r>
          </w:p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Konsiderojme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cmimet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shumice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percaktohen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menyre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gjitha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cmim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  <w:p w:rsidR="005E22F5" w:rsidRDefault="005E22F5" w:rsidP="005E22F5"/>
          <w:p w:rsidR="005E22F5" w:rsidRDefault="005E22F5" w:rsidP="005E22F5">
            <w:pPr>
              <w:rPr>
                <w:rFonts w:ascii="Cambria (Headings)" w:hAnsi="Cambria (Headings)" w:cs="Cambria (Headings)"/>
                <w:sz w:val="22"/>
                <w:szCs w:val="22"/>
              </w:rPr>
            </w:pPr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Duke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parasysh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stabile.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nese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importohet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caktuar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oksigjenit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atehere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momentin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shitjes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njejta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vlere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humbjes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gjate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transportit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dorezimit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eshte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marzha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>perckatuar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fitimit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</w:p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Po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ashtu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shpenzimeve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tjera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me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cdo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tjeter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farmaceutik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pasi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qe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tek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gazerat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mirembahet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edhe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ambalazha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ka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nje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kosto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shume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madhe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. </w:t>
            </w:r>
            <w:r>
              <w:rPr>
                <w:rFonts w:ascii="Cambria (Headings)" w:hAnsi="Cambria (Headings)" w:cs="Cambria (Headings)"/>
                <w:sz w:val="22"/>
                <w:szCs w:val="22"/>
              </w:rPr>
              <w:br/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Prandaj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produktet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medicioanale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cilat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jane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jo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stabile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duhet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trajtohen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ne form te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veqant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dhe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nuk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mund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ti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nenshtrohen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ketij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ligji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sipas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kesaj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 (Headings)" w:hAnsi="Cambria (Headings)" w:cs="Cambria (Headings)"/>
                <w:sz w:val="22"/>
                <w:szCs w:val="22"/>
              </w:rPr>
              <w:t>forme</w:t>
            </w:r>
            <w:proofErr w:type="spellEnd"/>
            <w:r>
              <w:rPr>
                <w:rFonts w:ascii="Cambria (Headings)" w:hAnsi="Cambria (Headings)" w:cs="Cambria (Headings)"/>
                <w:sz w:val="22"/>
                <w:szCs w:val="22"/>
              </w:rPr>
              <w:t>.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lastRenderedPageBreak/>
              <w:t xml:space="preserve">Contact person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Arber Merovci   </w:t>
            </w:r>
          </w:p>
        </w:tc>
      </w:tr>
      <w:tr w:rsidR="005E22F5" w:rsidTr="005E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Email person </w:t>
            </w:r>
          </w:p>
        </w:tc>
        <w:tc>
          <w:tcPr>
            <w:tcW w:w="57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E22F5" w:rsidRDefault="005E22F5" w:rsidP="005E22F5">
            <w:r>
              <w:rPr>
                <w:rFonts w:ascii="Cambria (Headings)" w:hAnsi="Cambria (Headings)" w:cs="Cambria (Headings)"/>
                <w:sz w:val="22"/>
                <w:szCs w:val="22"/>
              </w:rPr>
              <w:t xml:space="preserve">messermedicallc@gmail.com  </w:t>
            </w:r>
          </w:p>
        </w:tc>
      </w:tr>
    </w:tbl>
    <w:p w:rsidR="00D63895" w:rsidRDefault="00D63895"/>
    <w:p w:rsidR="00D63895" w:rsidRDefault="005E22F5">
      <w:pPr>
        <w:spacing w:before="1" w:after="1"/>
      </w:pPr>
      <w:proofErr w:type="spellStart"/>
      <w:r>
        <w:rPr>
          <w:rFonts w:ascii="Cambria (Headings)" w:hAnsi="Cambria (Headings)" w:cs="Cambria (Headings)"/>
          <w:sz w:val="22"/>
          <w:szCs w:val="22"/>
        </w:rPr>
        <w:t>Ovaj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konsultacije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ne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ukljucuje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dodatne</w:t>
      </w:r>
      <w:proofErr w:type="spellEnd"/>
      <w:r>
        <w:rPr>
          <w:rFonts w:ascii="Cambria (Headings)" w:hAnsi="Cambria (Headings)" w:cs="Cambria (Headings)"/>
          <w:sz w:val="22"/>
          <w:szCs w:val="22"/>
        </w:rPr>
        <w:t xml:space="preserve"> </w:t>
      </w:r>
      <w:proofErr w:type="spellStart"/>
      <w:r>
        <w:rPr>
          <w:rFonts w:ascii="Cambria (Headings)" w:hAnsi="Cambria (Headings)" w:cs="Cambria (Headings)"/>
          <w:sz w:val="22"/>
          <w:szCs w:val="22"/>
        </w:rPr>
        <w:t>dokumente</w:t>
      </w:r>
      <w:proofErr w:type="spellEnd"/>
    </w:p>
    <w:p w:rsidR="00D63895" w:rsidRDefault="00D63895"/>
    <w:p w:rsidR="00D63895" w:rsidRDefault="00D63895"/>
    <w:p w:rsidR="00D63895" w:rsidRDefault="00D63895"/>
    <w:p w:rsidR="00D63895" w:rsidRDefault="00D63895"/>
    <w:p w:rsidR="00D63895" w:rsidRDefault="00D63895"/>
    <w:p w:rsidR="00D63895" w:rsidRDefault="00D63895"/>
    <w:sectPr w:rsidR="00D63895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Headings)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81879"/>
    <w:multiLevelType w:val="hybridMultilevel"/>
    <w:tmpl w:val="ABB60592"/>
    <w:lvl w:ilvl="0" w:tplc="BDC25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95"/>
    <w:rsid w:val="005E22F5"/>
    <w:rsid w:val="00C07A8E"/>
    <w:rsid w:val="00D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FE52AE-B0F3-40F4-8EB7-F84E73E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000000"/>
        <w:left w:val="single" w:sz="10" w:space="0" w:color="000000"/>
        <w:bottom w:val="single" w:sz="10" w:space="0" w:color="000000"/>
        <w:right w:val="single" w:sz="10" w:space="0" w:color="000000"/>
        <w:insideH w:val="single" w:sz="10" w:space="0" w:color="000000"/>
        <w:insideV w:val="single" w:sz="1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6245</Characters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2023-02-16T08:52:00Z</dcterms:created>
  <dcterms:modified xsi:type="dcterms:W3CDTF">2023-02-16T08:52:00Z</dcterms:modified>
  <cp:category/>
</cp:coreProperties>
</file>