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DC" w:rsidRPr="00D6000D" w:rsidRDefault="006C24DC" w:rsidP="006C24DC">
      <w:pPr>
        <w:tabs>
          <w:tab w:val="left" w:pos="4415"/>
        </w:tabs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6</w:t>
      </w:r>
    </w:p>
    <w:p w:rsidR="006C24DC" w:rsidRPr="00D6000D" w:rsidRDefault="006C24DC" w:rsidP="006C24DC">
      <w:pPr>
        <w:tabs>
          <w:tab w:val="left" w:pos="4415"/>
        </w:tabs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Paga bazë</w:t>
      </w:r>
    </w:p>
    <w:p w:rsidR="006C24DC" w:rsidRPr="006C24DC" w:rsidRDefault="006C24DC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both"/>
        <w:rPr>
          <w:szCs w:val="24"/>
        </w:rPr>
      </w:pPr>
      <w:r>
        <w:rPr>
          <w:szCs w:val="24"/>
        </w:rPr>
        <w:t xml:space="preserve">Pika 5 : </w:t>
      </w:r>
      <w:r w:rsidRPr="006C24DC">
        <w:rPr>
          <w:szCs w:val="24"/>
        </w:rPr>
        <w:t>Paga bazë rritet në bazë të përvojës së punës në masën zero pikë pesë për qind (0.5%) për çdo vit të plotë pune</w:t>
      </w:r>
      <w:r w:rsidRPr="006C24DC">
        <w:rPr>
          <w:color w:val="4472C4" w:themeColor="accent1"/>
          <w:szCs w:val="24"/>
        </w:rPr>
        <w:t>. (Propozohet qe rritja e pagës baze te përvojës se punes te jete 2%)</w:t>
      </w:r>
    </w:p>
    <w:p w:rsidR="009C2108" w:rsidRDefault="009C2108"/>
    <w:p w:rsidR="006C24DC" w:rsidRDefault="006C24DC"/>
    <w:p w:rsidR="006C24DC" w:rsidRPr="00D6000D" w:rsidRDefault="006C24DC" w:rsidP="006C24DC">
      <w:pPr>
        <w:tabs>
          <w:tab w:val="left" w:pos="4415"/>
        </w:tabs>
        <w:adjustRightInd w:val="0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7</w:t>
      </w:r>
    </w:p>
    <w:p w:rsidR="006C24DC" w:rsidRDefault="006C24DC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center"/>
        <w:rPr>
          <w:rFonts w:eastAsia="MS Mincho"/>
          <w:b/>
          <w:szCs w:val="24"/>
        </w:rPr>
      </w:pPr>
      <w:r w:rsidRPr="006C24DC">
        <w:rPr>
          <w:rFonts w:eastAsia="MS Mincho"/>
          <w:b/>
          <w:szCs w:val="24"/>
        </w:rPr>
        <w:t>Llogaritja e pagës</w:t>
      </w:r>
    </w:p>
    <w:p w:rsidR="006C24DC" w:rsidRPr="006C24DC" w:rsidRDefault="006C24DC" w:rsidP="006C24DC">
      <w:pPr>
        <w:pStyle w:val="ListParagraph"/>
        <w:widowControl/>
        <w:numPr>
          <w:ilvl w:val="0"/>
          <w:numId w:val="3"/>
        </w:numPr>
        <w:tabs>
          <w:tab w:val="left" w:pos="450"/>
          <w:tab w:val="left" w:pos="4230"/>
        </w:tabs>
        <w:adjustRightInd w:val="0"/>
        <w:ind w:left="85" w:right="150" w:firstLine="0"/>
        <w:contextualSpacing/>
        <w:jc w:val="both"/>
        <w:rPr>
          <w:szCs w:val="24"/>
        </w:rPr>
      </w:pPr>
      <w:r>
        <w:rPr>
          <w:szCs w:val="24"/>
        </w:rPr>
        <w:t>Pika 2</w:t>
      </w:r>
      <w:r w:rsidRPr="00D6000D">
        <w:rPr>
          <w:szCs w:val="24"/>
        </w:rPr>
        <w:t>Për efekt të llogaritjes të pagës mujore, një (1) muaj llogaritet të ketë njëqind e shtatëdhjetë e tri (173</w:t>
      </w:r>
      <w:r>
        <w:rPr>
          <w:szCs w:val="24"/>
        </w:rPr>
        <w:t>) orë pune</w:t>
      </w:r>
      <w:r w:rsidRPr="006C24DC">
        <w:rPr>
          <w:color w:val="4472C4" w:themeColor="accent1"/>
          <w:szCs w:val="24"/>
        </w:rPr>
        <w:t xml:space="preserve"> ( propozoje te  jete </w:t>
      </w:r>
      <w:r w:rsidRPr="006C24DC">
        <w:rPr>
          <w:color w:val="4472C4" w:themeColor="accent1"/>
          <w:szCs w:val="24"/>
        </w:rPr>
        <w:t>njëqind e gjashtedhjete e tete (168</w:t>
      </w:r>
      <w:r w:rsidRPr="006C24DC">
        <w:rPr>
          <w:color w:val="4472C4" w:themeColor="accent1"/>
          <w:szCs w:val="24"/>
        </w:rPr>
        <w:t>) orë pune per efekt qe pjesa me e madhe e muajve kane 21 ditë pune)</w:t>
      </w:r>
      <w:r>
        <w:rPr>
          <w:color w:val="4472C4" w:themeColor="accent1"/>
          <w:szCs w:val="24"/>
        </w:rPr>
        <w:t>.</w:t>
      </w:r>
    </w:p>
    <w:p w:rsidR="006C24DC" w:rsidRDefault="006C24DC" w:rsidP="006C24DC">
      <w:pPr>
        <w:widowControl/>
        <w:tabs>
          <w:tab w:val="left" w:pos="450"/>
          <w:tab w:val="left" w:pos="4230"/>
        </w:tabs>
        <w:adjustRightInd w:val="0"/>
        <w:ind w:right="150"/>
        <w:contextualSpacing/>
        <w:jc w:val="both"/>
        <w:rPr>
          <w:szCs w:val="24"/>
        </w:rPr>
      </w:pPr>
    </w:p>
    <w:p w:rsidR="006C24DC" w:rsidRPr="00D6000D" w:rsidRDefault="006C24DC" w:rsidP="006C24DC">
      <w:pPr>
        <w:adjustRightInd w:val="0"/>
        <w:ind w:right="153"/>
        <w:jc w:val="center"/>
        <w:rPr>
          <w:rFonts w:eastAsia="MS Mincho"/>
          <w:b/>
          <w:szCs w:val="24"/>
        </w:rPr>
      </w:pPr>
    </w:p>
    <w:p w:rsidR="006C24DC" w:rsidRPr="00D6000D" w:rsidRDefault="006C24DC" w:rsidP="006C24D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22</w:t>
      </w:r>
    </w:p>
    <w:p w:rsidR="006C24DC" w:rsidRPr="00D6000D" w:rsidRDefault="006C24DC" w:rsidP="006C24D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Shtesat</w:t>
      </w:r>
    </w:p>
    <w:p w:rsidR="006C24DC" w:rsidRPr="006C24DC" w:rsidRDefault="006C24DC" w:rsidP="006C24DC">
      <w:pPr>
        <w:widowControl/>
        <w:tabs>
          <w:tab w:val="left" w:pos="450"/>
          <w:tab w:val="left" w:pos="4230"/>
        </w:tabs>
        <w:adjustRightInd w:val="0"/>
        <w:ind w:right="150"/>
        <w:contextualSpacing/>
        <w:jc w:val="both"/>
        <w:rPr>
          <w:szCs w:val="24"/>
        </w:rPr>
      </w:pPr>
    </w:p>
    <w:p w:rsidR="006C24DC" w:rsidRPr="00D6000D" w:rsidRDefault="006C24DC" w:rsidP="006C24DC">
      <w:pPr>
        <w:pStyle w:val="ListParagraph"/>
        <w:widowControl/>
        <w:numPr>
          <w:ilvl w:val="0"/>
          <w:numId w:val="4"/>
        </w:numPr>
        <w:tabs>
          <w:tab w:val="left" w:pos="360"/>
        </w:tabs>
        <w:adjustRightInd w:val="0"/>
        <w:ind w:left="85" w:right="153" w:firstLine="0"/>
        <w:contextualSpacing/>
        <w:jc w:val="both"/>
        <w:rPr>
          <w:szCs w:val="24"/>
        </w:rPr>
      </w:pPr>
      <w:r w:rsidRPr="00D6000D">
        <w:rPr>
          <w:szCs w:val="24"/>
        </w:rPr>
        <w:t>Shtesat që mund përfitohen në bazë të këtij ligji janë:</w:t>
      </w:r>
    </w:p>
    <w:p w:rsidR="006C24DC" w:rsidRPr="00D6000D" w:rsidRDefault="006C24DC" w:rsidP="006C24DC">
      <w:pPr>
        <w:pStyle w:val="ListParagraph"/>
        <w:adjustRightInd w:val="0"/>
        <w:ind w:left="360"/>
        <w:jc w:val="both"/>
        <w:rPr>
          <w:szCs w:val="24"/>
        </w:rPr>
      </w:pPr>
    </w:p>
    <w:p w:rsidR="006C24DC" w:rsidRPr="006C24DC" w:rsidRDefault="006C24DC" w:rsidP="006C24DC">
      <w:pPr>
        <w:pStyle w:val="ListParagraph"/>
        <w:rPr>
          <w:color w:val="4472C4" w:themeColor="accent1"/>
          <w:szCs w:val="24"/>
        </w:rPr>
      </w:pPr>
      <w:r w:rsidRPr="006C24DC">
        <w:rPr>
          <w:color w:val="4472C4" w:themeColor="accent1"/>
          <w:szCs w:val="24"/>
        </w:rPr>
        <w:t xml:space="preserve">Te shtohet </w:t>
      </w:r>
    </w:p>
    <w:p w:rsidR="006C24DC" w:rsidRPr="006C24DC" w:rsidRDefault="006C24DC" w:rsidP="006C24DC">
      <w:pPr>
        <w:pStyle w:val="ListParagraph"/>
        <w:widowControl/>
        <w:numPr>
          <w:ilvl w:val="1"/>
          <w:numId w:val="5"/>
        </w:numPr>
        <w:adjustRightInd w:val="0"/>
        <w:spacing w:after="240"/>
        <w:ind w:right="150"/>
        <w:contextualSpacing/>
        <w:jc w:val="both"/>
        <w:rPr>
          <w:color w:val="4472C4" w:themeColor="accent1"/>
          <w:szCs w:val="24"/>
        </w:rPr>
      </w:pPr>
      <w:r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ab/>
      </w:r>
      <w:r w:rsidRPr="006C24DC">
        <w:rPr>
          <w:color w:val="4472C4" w:themeColor="accent1"/>
          <w:szCs w:val="24"/>
        </w:rPr>
        <w:t>asnjera nga shtesat nuk perjashtojnë njëra tjeteren.</w:t>
      </w:r>
    </w:p>
    <w:p w:rsidR="006C24DC" w:rsidRPr="006C24DC" w:rsidRDefault="006C24DC" w:rsidP="006C24DC">
      <w:pPr>
        <w:widowControl/>
        <w:tabs>
          <w:tab w:val="left" w:pos="450"/>
          <w:tab w:val="left" w:pos="4230"/>
        </w:tabs>
        <w:adjustRightInd w:val="0"/>
        <w:ind w:right="150"/>
        <w:contextualSpacing/>
        <w:jc w:val="both"/>
        <w:rPr>
          <w:szCs w:val="24"/>
        </w:rPr>
      </w:pPr>
    </w:p>
    <w:p w:rsidR="006C24DC" w:rsidRPr="00D6000D" w:rsidRDefault="006C24DC" w:rsidP="006C24DC">
      <w:pPr>
        <w:pStyle w:val="ListParagraph"/>
        <w:ind w:right="153"/>
        <w:rPr>
          <w:szCs w:val="24"/>
        </w:rPr>
      </w:pPr>
    </w:p>
    <w:p w:rsidR="006C24DC" w:rsidRPr="00D6000D" w:rsidRDefault="006C24DC" w:rsidP="006C24D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25</w:t>
      </w:r>
    </w:p>
    <w:p w:rsidR="006C24DC" w:rsidRDefault="006C24DC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Shtesa e performancës</w:t>
      </w:r>
    </w:p>
    <w:p w:rsidR="006C24DC" w:rsidRDefault="006C24DC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Te riformulohen </w:t>
      </w:r>
    </w:p>
    <w:p w:rsidR="006C24DC" w:rsidRPr="006C24DC" w:rsidRDefault="006C24DC" w:rsidP="006C24DC">
      <w:pPr>
        <w:pStyle w:val="ListParagraph"/>
        <w:widowControl/>
        <w:numPr>
          <w:ilvl w:val="0"/>
          <w:numId w:val="6"/>
        </w:numPr>
        <w:tabs>
          <w:tab w:val="left" w:pos="535"/>
        </w:tabs>
        <w:adjustRightInd w:val="0"/>
        <w:ind w:left="85" w:right="153" w:firstLine="0"/>
        <w:contextualSpacing/>
        <w:jc w:val="both"/>
        <w:rPr>
          <w:color w:val="4472C4" w:themeColor="accent1"/>
          <w:szCs w:val="24"/>
        </w:rPr>
      </w:pPr>
      <w:r w:rsidRPr="006C24DC">
        <w:rPr>
          <w:color w:val="4472C4" w:themeColor="accent1"/>
          <w:szCs w:val="24"/>
        </w:rPr>
        <w:t xml:space="preserve">Shtesa e performancës  synon stimulimin e zyrtarit publik </w:t>
      </w:r>
      <w:r w:rsidRPr="006C24DC">
        <w:rPr>
          <w:strike/>
          <w:color w:val="4472C4" w:themeColor="accent1"/>
          <w:szCs w:val="24"/>
        </w:rPr>
        <w:t xml:space="preserve"> </w:t>
      </w:r>
      <w:r w:rsidRPr="006C24DC">
        <w:rPr>
          <w:color w:val="4472C4" w:themeColor="accent1"/>
          <w:szCs w:val="24"/>
        </w:rPr>
        <w:t>në organizatat buxhetore që financohen nga buxheti i shtetit, për të marrë rezultate të shkëlqyeshme në kryerje të detyrave dhe përgjegjësive.</w:t>
      </w:r>
    </w:p>
    <w:p w:rsidR="006C24DC" w:rsidRPr="006C24DC" w:rsidRDefault="006C24DC" w:rsidP="006C24DC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color w:val="4472C4" w:themeColor="accent1"/>
          <w:szCs w:val="24"/>
        </w:rPr>
      </w:pPr>
    </w:p>
    <w:p w:rsidR="006C24DC" w:rsidRPr="006C24DC" w:rsidRDefault="006C24DC" w:rsidP="006C24DC">
      <w:pPr>
        <w:pStyle w:val="ListParagraph"/>
        <w:widowControl/>
        <w:numPr>
          <w:ilvl w:val="0"/>
          <w:numId w:val="6"/>
        </w:numPr>
        <w:tabs>
          <w:tab w:val="left" w:pos="535"/>
        </w:tabs>
        <w:adjustRightInd w:val="0"/>
        <w:ind w:left="85" w:right="153" w:firstLine="0"/>
        <w:contextualSpacing/>
        <w:jc w:val="both"/>
        <w:rPr>
          <w:color w:val="4472C4" w:themeColor="accent1"/>
          <w:szCs w:val="24"/>
        </w:rPr>
      </w:pPr>
      <w:r w:rsidRPr="006C24DC">
        <w:rPr>
          <w:color w:val="4472C4" w:themeColor="accent1"/>
          <w:szCs w:val="24"/>
        </w:rPr>
        <w:t>Zyrtari publik përfiton shtesë vjetore për performancë bazuar në rezultatet vjetore të vlerësimit të punës.</w:t>
      </w:r>
    </w:p>
    <w:p w:rsidR="006C24DC" w:rsidRPr="00D6000D" w:rsidRDefault="006C24DC" w:rsidP="006C24DC">
      <w:pPr>
        <w:adjustRightInd w:val="0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26</w:t>
      </w:r>
    </w:p>
    <w:p w:rsidR="006C24DC" w:rsidRPr="00D6000D" w:rsidRDefault="006C24DC" w:rsidP="006C24D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 xml:space="preserve">Shtesa për kushte specifike të punës </w:t>
      </w:r>
    </w:p>
    <w:p w:rsidR="006C24DC" w:rsidRPr="00D6000D" w:rsidRDefault="006C24DC" w:rsidP="006C24DC">
      <w:pPr>
        <w:adjustRightInd w:val="0"/>
        <w:ind w:right="153"/>
        <w:jc w:val="both"/>
        <w:rPr>
          <w:rFonts w:eastAsia="MS Mincho"/>
          <w:szCs w:val="24"/>
        </w:rPr>
      </w:pPr>
    </w:p>
    <w:p w:rsidR="006C24DC" w:rsidRPr="006C24DC" w:rsidRDefault="006C24DC" w:rsidP="006C24DC">
      <w:pPr>
        <w:pStyle w:val="ListParagraph"/>
        <w:numPr>
          <w:ilvl w:val="0"/>
          <w:numId w:val="7"/>
        </w:numPr>
        <w:ind w:left="85" w:firstLine="0"/>
        <w:jc w:val="both"/>
        <w:rPr>
          <w:color w:val="4472C4" w:themeColor="accent1"/>
          <w:szCs w:val="24"/>
        </w:rPr>
      </w:pPr>
      <w:r w:rsidRPr="006C24DC">
        <w:rPr>
          <w:color w:val="4472C4" w:themeColor="accent1"/>
          <w:szCs w:val="24"/>
        </w:rPr>
        <w:t xml:space="preserve">Shtesa për kushte specifike të punës përfitohet nga zyrtarët publikë dhe të punësuarit e tjerë që janë të ekspozuar ndaj rrezikshmërisë në vendin e punës ose kanë kushte specifike të punës të cilat ua rrezikojnë </w:t>
      </w:r>
      <w:r w:rsidRPr="006C24DC">
        <w:rPr>
          <w:color w:val="4472C4" w:themeColor="accent1"/>
          <w:szCs w:val="24"/>
        </w:rPr>
        <w:t xml:space="preserve"> shendetij apo dhe </w:t>
      </w:r>
      <w:r w:rsidRPr="006C24DC">
        <w:rPr>
          <w:color w:val="4472C4" w:themeColor="accent1"/>
          <w:szCs w:val="24"/>
        </w:rPr>
        <w:t>jetën deri ne 20% te pagës baze.</w:t>
      </w:r>
    </w:p>
    <w:p w:rsidR="006C24DC" w:rsidRDefault="006C24DC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center"/>
      </w:pPr>
    </w:p>
    <w:p w:rsidR="006D6B93" w:rsidRPr="006D6B93" w:rsidRDefault="006D6B93" w:rsidP="00320303">
      <w:pPr>
        <w:pStyle w:val="ListParagraph"/>
        <w:numPr>
          <w:ilvl w:val="0"/>
          <w:numId w:val="7"/>
        </w:numPr>
        <w:jc w:val="both"/>
      </w:pPr>
      <w:r w:rsidRPr="006D6B93">
        <w:rPr>
          <w:color w:val="4472C4" w:themeColor="accent1"/>
        </w:rPr>
        <w:t>Shtesa e përcaktuar në paragrafin 1 të këtij neni,</w:t>
      </w:r>
      <w:r w:rsidRPr="006D6B93">
        <w:rPr>
          <w:color w:val="4472C4" w:themeColor="accent1"/>
        </w:rPr>
        <w:t xml:space="preserve"> duhet te regullohen me akte nenligjore nga ministria gjegjse</w:t>
      </w:r>
      <w:r>
        <w:rPr>
          <w:color w:val="4472C4" w:themeColor="accent1"/>
        </w:rPr>
        <w:t xml:space="preserve"> </w:t>
      </w:r>
      <w:r w:rsidRPr="006D6B93">
        <w:rPr>
          <w:color w:val="4472C4" w:themeColor="accent1"/>
        </w:rPr>
        <w:t xml:space="preserve">( </w:t>
      </w:r>
      <w:r w:rsidRPr="006D6B93">
        <w:rPr>
          <w:color w:val="4472C4" w:themeColor="accent1"/>
        </w:rPr>
        <w:t>Shtesa e përcaktuar në paragrafin 1 të këtij neni, nuk mund të jetë më e lartë se 1 % e fondeve totale të përdorura nga organizata buxhetore, për pagën bazë të zyrtarëve publik të organizatës buxhetore në të njëjtin vit financiar</w:t>
      </w:r>
      <w:r w:rsidRPr="006D6B93">
        <w:rPr>
          <w:color w:val="4472C4" w:themeColor="accent1"/>
        </w:rPr>
        <w:t xml:space="preserve">  për arsye qe shendeti i zyrtarit publin nuk ka kushte  buxhetore e e justifikon demtimin)</w:t>
      </w:r>
      <w:r>
        <w:rPr>
          <w:color w:val="4472C4" w:themeColor="accent1"/>
        </w:rPr>
        <w:t>.</w:t>
      </w:r>
    </w:p>
    <w:p w:rsidR="006D6B93" w:rsidRDefault="006D6B93" w:rsidP="006D6B93">
      <w:pPr>
        <w:pStyle w:val="ListParagraph"/>
      </w:pPr>
    </w:p>
    <w:p w:rsidR="006D6B93" w:rsidRPr="00D6000D" w:rsidRDefault="006D6B93" w:rsidP="006D6B93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28</w:t>
      </w:r>
    </w:p>
    <w:p w:rsidR="006D6B93" w:rsidRDefault="006D6B93" w:rsidP="006D6B93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 xml:space="preserve">Shtesa </w:t>
      </w:r>
      <w:r w:rsidRPr="00D6000D">
        <w:rPr>
          <w:rFonts w:eastAsia="MS Mincho"/>
          <w:b/>
          <w:bCs/>
          <w:szCs w:val="24"/>
        </w:rPr>
        <w:t>për vëllimin e punës</w:t>
      </w:r>
    </w:p>
    <w:p w:rsidR="006D6B93" w:rsidRPr="006D6B93" w:rsidRDefault="006D6B93" w:rsidP="006D6B93">
      <w:pPr>
        <w:pStyle w:val="ListParagraph"/>
        <w:numPr>
          <w:ilvl w:val="0"/>
          <w:numId w:val="8"/>
        </w:numPr>
        <w:adjustRightInd w:val="0"/>
        <w:ind w:right="153"/>
        <w:rPr>
          <w:rFonts w:eastAsia="MS Mincho"/>
          <w:b/>
          <w:szCs w:val="24"/>
        </w:rPr>
      </w:pPr>
      <w:r w:rsidRPr="006D6B93">
        <w:rPr>
          <w:rFonts w:eastAsia="MS Mincho"/>
          <w:szCs w:val="24"/>
        </w:rPr>
        <w:lastRenderedPageBreak/>
        <w:t xml:space="preserve">Organizatat buxhetore, në rastet e parashikuara nga ky ligj, mund të japin shtesën për vëllim të punës, për kryerjen e punës për shkak të rritjes së vëllimit të punës, nëse kanë mjete në dispozicion për këtë qëllim nga kursimet e fondeve të pagave që krijohen për shkak të mungesës së </w:t>
      </w:r>
      <w:r w:rsidRPr="006D6B93">
        <w:rPr>
          <w:rFonts w:eastAsia="MS Mincho"/>
          <w:color w:val="4472C4" w:themeColor="accent1"/>
          <w:szCs w:val="24"/>
          <w:highlight w:val="green"/>
        </w:rPr>
        <w:t>zyrati publik</w:t>
      </w:r>
      <w:r w:rsidRPr="006D6B93">
        <w:rPr>
          <w:rFonts w:eastAsia="MS Mincho"/>
          <w:color w:val="4472C4" w:themeColor="accent1"/>
          <w:szCs w:val="24"/>
        </w:rPr>
        <w:t xml:space="preserve">, </w:t>
      </w:r>
      <w:r w:rsidRPr="006D6B93">
        <w:rPr>
          <w:rFonts w:eastAsia="MS Mincho"/>
          <w:szCs w:val="24"/>
        </w:rPr>
        <w:t>apo pozitave të paplotësuara për të cilat janë paraparë mjete në planin financiar të</w:t>
      </w:r>
      <w:r>
        <w:rPr>
          <w:rFonts w:eastAsia="MS Mincho"/>
          <w:szCs w:val="24"/>
        </w:rPr>
        <w:t xml:space="preserve"> </w:t>
      </w:r>
      <w:r w:rsidRPr="00D6000D">
        <w:rPr>
          <w:rFonts w:eastAsia="MS Mincho"/>
          <w:szCs w:val="24"/>
        </w:rPr>
        <w:t>shfrytëzuesit buxhetor dhe fonde për projekte të veçanta.</w:t>
      </w:r>
    </w:p>
    <w:p w:rsidR="006D6B93" w:rsidRDefault="006D6B93" w:rsidP="006D6B93">
      <w:pPr>
        <w:pStyle w:val="ListParagraph"/>
      </w:pPr>
    </w:p>
    <w:p w:rsidR="006D6B93" w:rsidRPr="00D6000D" w:rsidRDefault="006D6B93" w:rsidP="006D6B93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29</w:t>
      </w:r>
    </w:p>
    <w:p w:rsidR="006D6B93" w:rsidRPr="00D6000D" w:rsidRDefault="006D6B93" w:rsidP="006D6B93">
      <w:pPr>
        <w:adjustRightInd w:val="0"/>
        <w:ind w:right="153"/>
        <w:jc w:val="center"/>
        <w:rPr>
          <w:rFonts w:eastAsia="MS Mincho"/>
          <w:b/>
          <w:bCs/>
          <w:szCs w:val="24"/>
        </w:rPr>
      </w:pPr>
      <w:r w:rsidRPr="00D6000D">
        <w:rPr>
          <w:rFonts w:eastAsia="MS Mincho"/>
          <w:b/>
          <w:szCs w:val="24"/>
        </w:rPr>
        <w:t xml:space="preserve">Shtesa </w:t>
      </w:r>
      <w:r w:rsidRPr="00D6000D">
        <w:rPr>
          <w:rFonts w:eastAsia="MS Mincho"/>
          <w:b/>
          <w:bCs/>
          <w:szCs w:val="24"/>
        </w:rPr>
        <w:t>për provim shtetëror për nëpunësin e arsimit para universitar</w:t>
      </w:r>
    </w:p>
    <w:p w:rsidR="006D6B93" w:rsidRPr="00D6000D" w:rsidRDefault="006D6B93" w:rsidP="006D6B93">
      <w:pPr>
        <w:adjustRightInd w:val="0"/>
        <w:ind w:right="153"/>
        <w:jc w:val="center"/>
        <w:rPr>
          <w:rFonts w:eastAsia="MS Mincho"/>
          <w:b/>
          <w:bCs/>
          <w:szCs w:val="24"/>
        </w:rPr>
      </w:pPr>
    </w:p>
    <w:p w:rsidR="006D6B93" w:rsidRPr="006D6B93" w:rsidRDefault="006D6B93" w:rsidP="006D6B93">
      <w:pPr>
        <w:numPr>
          <w:ilvl w:val="0"/>
          <w:numId w:val="9"/>
        </w:numPr>
        <w:tabs>
          <w:tab w:val="left" w:pos="90"/>
        </w:tabs>
        <w:adjustRightInd w:val="0"/>
        <w:ind w:left="90" w:right="153" w:firstLine="0"/>
        <w:jc w:val="both"/>
        <w:rPr>
          <w:rFonts w:eastAsia="MS Mincho"/>
          <w:bCs/>
          <w:color w:val="4472C4" w:themeColor="accent1"/>
          <w:szCs w:val="24"/>
        </w:rPr>
      </w:pPr>
      <w:r w:rsidRPr="00D6000D">
        <w:rPr>
          <w:rFonts w:eastAsia="MS Mincho"/>
          <w:bCs/>
          <w:szCs w:val="24"/>
        </w:rPr>
        <w:t xml:space="preserve">Të gjithë nëpunësit e arsimit para universitar në shkollat e Republikës së Kosovës, nëse kalojnë provimin shtetëror i cili do të përcaktohet përmes një akti të veçantë, kanë të drejtë të përfitojnë shtesën për provim shtetëror. Provimi shtetëror, nuk nënkupton licencimin. </w:t>
      </w:r>
      <w:r w:rsidRPr="006D6B93">
        <w:rPr>
          <w:rFonts w:eastAsia="MS Mincho"/>
          <w:bCs/>
          <w:color w:val="4472C4" w:themeColor="accent1"/>
          <w:szCs w:val="24"/>
        </w:rPr>
        <w:t>Te gjitha profesionet e rregulluara me ligj kane provim shteterore obligativ ose te vleje per te gjithë ose te largohen per te gjithë.</w:t>
      </w:r>
    </w:p>
    <w:p w:rsidR="006D6B93" w:rsidRDefault="006D6B93" w:rsidP="006D6B93">
      <w:pPr>
        <w:pStyle w:val="ListParagraph"/>
      </w:pPr>
    </w:p>
    <w:p w:rsidR="006D6B93" w:rsidRDefault="006D6B93" w:rsidP="006D6B93">
      <w:pPr>
        <w:pStyle w:val="ListParagraph"/>
      </w:pPr>
    </w:p>
    <w:p w:rsidR="006D6B93" w:rsidRPr="00D6000D" w:rsidRDefault="006D6B93" w:rsidP="006D6B93">
      <w:pPr>
        <w:pStyle w:val="ListParagraph"/>
        <w:adjustRightInd w:val="0"/>
        <w:ind w:right="153"/>
        <w:jc w:val="center"/>
        <w:rPr>
          <w:b/>
          <w:szCs w:val="24"/>
        </w:rPr>
      </w:pPr>
      <w:r w:rsidRPr="00D6000D">
        <w:rPr>
          <w:b/>
          <w:szCs w:val="24"/>
        </w:rPr>
        <w:t>Neni 33</w:t>
      </w:r>
      <w:r w:rsidRPr="00D6000D">
        <w:rPr>
          <w:b/>
          <w:szCs w:val="24"/>
        </w:rPr>
        <w:br/>
        <w:t>Shtesa e funksionale për nëpunësin e sistemit shëndetësor</w:t>
      </w:r>
    </w:p>
    <w:p w:rsidR="006D6B93" w:rsidRPr="00D6000D" w:rsidRDefault="006D6B93" w:rsidP="006D6B93">
      <w:pPr>
        <w:pStyle w:val="ListParagraph"/>
        <w:adjustRightInd w:val="0"/>
        <w:ind w:right="153"/>
        <w:jc w:val="both"/>
        <w:rPr>
          <w:szCs w:val="24"/>
        </w:rPr>
      </w:pPr>
    </w:p>
    <w:p w:rsidR="006D6B93" w:rsidRPr="006D6B93" w:rsidRDefault="006D6B93" w:rsidP="006D6B93">
      <w:pPr>
        <w:pStyle w:val="ListParagraph"/>
        <w:widowControl/>
        <w:numPr>
          <w:ilvl w:val="0"/>
          <w:numId w:val="11"/>
        </w:numPr>
        <w:adjustRightInd w:val="0"/>
        <w:ind w:left="85" w:right="153" w:firstLine="0"/>
        <w:contextualSpacing/>
        <w:jc w:val="both"/>
        <w:rPr>
          <w:color w:val="4472C4" w:themeColor="accent1"/>
          <w:szCs w:val="24"/>
        </w:rPr>
      </w:pPr>
      <w:r w:rsidRPr="006D6B93">
        <w:rPr>
          <w:color w:val="4472C4" w:themeColor="accent1"/>
          <w:szCs w:val="24"/>
        </w:rPr>
        <w:t xml:space="preserve">Nëpunësit e sistemit shendetesore përfitojnë shtesë të posaçme për ushtrimin e funksionit </w:t>
      </w:r>
      <w:r w:rsidRPr="006D6B93">
        <w:rPr>
          <w:color w:val="4472C4" w:themeColor="accent1"/>
          <w:szCs w:val="24"/>
        </w:rPr>
        <w:t xml:space="preserve">drejtues </w:t>
      </w:r>
      <w:r w:rsidRPr="006D6B93">
        <w:rPr>
          <w:color w:val="4472C4" w:themeColor="accent1"/>
          <w:szCs w:val="24"/>
        </w:rPr>
        <w:t>përkatës. Vlera e shtesës sipas këtij paragrafi (10-30 %) të pagës bazë.</w:t>
      </w:r>
    </w:p>
    <w:p w:rsidR="006D6B93" w:rsidRPr="00D6000D" w:rsidRDefault="006D6B93" w:rsidP="006D6B93">
      <w:pPr>
        <w:pStyle w:val="ListParagraph"/>
        <w:adjustRightInd w:val="0"/>
        <w:ind w:right="153"/>
        <w:jc w:val="both"/>
        <w:rPr>
          <w:szCs w:val="24"/>
        </w:rPr>
      </w:pPr>
    </w:p>
    <w:p w:rsidR="006D6B93" w:rsidRDefault="006D6B93" w:rsidP="006D6B93">
      <w:pPr>
        <w:pStyle w:val="ListParagraph"/>
        <w:widowControl/>
        <w:numPr>
          <w:ilvl w:val="0"/>
          <w:numId w:val="11"/>
        </w:numPr>
        <w:adjustRightInd w:val="0"/>
        <w:ind w:left="85" w:right="153" w:firstLine="0"/>
        <w:contextualSpacing/>
        <w:jc w:val="both"/>
        <w:rPr>
          <w:szCs w:val="24"/>
        </w:rPr>
      </w:pPr>
      <w:r w:rsidRPr="00D6000D">
        <w:rPr>
          <w:szCs w:val="24"/>
        </w:rPr>
        <w:t>Nëpunësi i sistemit shëndetësor, i cili ushtron detyrën si personel akademik në arsimin universitar, kur këtë e lejon ligji përfiton një shtesë në vlerë prej tridhjetë përqind (30%) të pagës bazë për pozitën me orar të plotë të punës në arsimin universitar</w:t>
      </w:r>
      <w:r>
        <w:rPr>
          <w:szCs w:val="24"/>
        </w:rPr>
        <w:t xml:space="preserve"> </w:t>
      </w:r>
      <w:r w:rsidRPr="006D6B93">
        <w:rPr>
          <w:color w:val="4472C4" w:themeColor="accent1"/>
          <w:szCs w:val="24"/>
          <w:highlight w:val="green"/>
        </w:rPr>
        <w:t>ose</w:t>
      </w:r>
      <w:r w:rsidRPr="006D6B93">
        <w:rPr>
          <w:color w:val="4472C4" w:themeColor="accent1"/>
          <w:szCs w:val="24"/>
          <w:highlight w:val="green"/>
        </w:rPr>
        <w:t xml:space="preserve"> ne sistemin shendetesore.</w:t>
      </w:r>
    </w:p>
    <w:p w:rsidR="006D6B93" w:rsidRPr="006D6B93" w:rsidRDefault="006D6B93" w:rsidP="006D6B93">
      <w:pPr>
        <w:pStyle w:val="ListParagraph"/>
        <w:rPr>
          <w:szCs w:val="24"/>
        </w:rPr>
      </w:pPr>
    </w:p>
    <w:p w:rsidR="006D6B93" w:rsidRDefault="006D6B93" w:rsidP="006D6B93">
      <w:pPr>
        <w:pStyle w:val="ListParagraph"/>
        <w:widowControl/>
        <w:numPr>
          <w:ilvl w:val="0"/>
          <w:numId w:val="11"/>
        </w:numPr>
        <w:adjustRightInd w:val="0"/>
        <w:ind w:left="85" w:right="153" w:firstLine="0"/>
        <w:contextualSpacing/>
        <w:jc w:val="both"/>
        <w:rPr>
          <w:szCs w:val="24"/>
        </w:rPr>
      </w:pPr>
      <w:r w:rsidRPr="006D6B93">
        <w:rPr>
          <w:szCs w:val="24"/>
        </w:rPr>
        <w:t>Nëpunësi i sistemit shëndetësor, i cili ushtron detyrën në lokacion të largët, përfiton një shtesë të posaçme. Vlera e shtesës sipas këtij paragrafi nuk mund të kalojë njëzet përqind 20 % të pagës bazë.</w:t>
      </w:r>
    </w:p>
    <w:p w:rsidR="006D6B93" w:rsidRPr="006D6B93" w:rsidRDefault="006D6B93" w:rsidP="006D6B93">
      <w:pPr>
        <w:pStyle w:val="ListParagraph"/>
        <w:rPr>
          <w:szCs w:val="24"/>
        </w:rPr>
      </w:pPr>
    </w:p>
    <w:p w:rsidR="009F778E" w:rsidRDefault="006D6B93" w:rsidP="009F778E">
      <w:pPr>
        <w:pStyle w:val="ListParagraph"/>
        <w:widowControl/>
        <w:numPr>
          <w:ilvl w:val="0"/>
          <w:numId w:val="11"/>
        </w:numPr>
        <w:adjustRightInd w:val="0"/>
        <w:ind w:left="85" w:right="153" w:firstLine="0"/>
        <w:contextualSpacing/>
        <w:jc w:val="both"/>
        <w:rPr>
          <w:szCs w:val="24"/>
        </w:rPr>
      </w:pPr>
      <w:r w:rsidRPr="006D6B93">
        <w:rPr>
          <w:szCs w:val="24"/>
        </w:rPr>
        <w:t>Qeveria e Republikës së Kosovës, me propozimin e ministrisë përgjegjëse për administratën publike, ministrisë përgjegjëse për shëndetësi dhe ministrisë përgjegjëse për financa, miraton, me akt nënligjor, grup pozitat, rregullat për shtesën sipas këtij neni, si dhe kushtet e detajuara për përfitimin e saj</w:t>
      </w:r>
    </w:p>
    <w:p w:rsidR="009F778E" w:rsidRPr="009F778E" w:rsidRDefault="009F778E" w:rsidP="009F778E">
      <w:pPr>
        <w:pStyle w:val="ListParagraph"/>
        <w:rPr>
          <w:color w:val="4472C4" w:themeColor="accent1"/>
          <w:szCs w:val="24"/>
        </w:rPr>
      </w:pPr>
    </w:p>
    <w:p w:rsidR="006D6B93" w:rsidRPr="009F778E" w:rsidRDefault="006D6B93" w:rsidP="009F778E">
      <w:pPr>
        <w:pStyle w:val="ListParagraph"/>
        <w:widowControl/>
        <w:numPr>
          <w:ilvl w:val="0"/>
          <w:numId w:val="11"/>
        </w:numPr>
        <w:adjustRightInd w:val="0"/>
        <w:ind w:left="85" w:right="153" w:firstLine="0"/>
        <w:contextualSpacing/>
        <w:jc w:val="both"/>
        <w:rPr>
          <w:szCs w:val="24"/>
        </w:rPr>
      </w:pPr>
      <w:r w:rsidRPr="009F778E">
        <w:rPr>
          <w:color w:val="4472C4" w:themeColor="accent1"/>
          <w:szCs w:val="24"/>
        </w:rPr>
        <w:t>Profes</w:t>
      </w:r>
      <w:r w:rsidR="009F778E" w:rsidRPr="009F778E">
        <w:rPr>
          <w:color w:val="4472C4" w:themeColor="accent1"/>
          <w:szCs w:val="24"/>
        </w:rPr>
        <w:t xml:space="preserve">ionistet shëndetsore </w:t>
      </w:r>
      <w:r w:rsidRPr="009F778E">
        <w:rPr>
          <w:color w:val="4472C4" w:themeColor="accent1"/>
          <w:szCs w:val="24"/>
        </w:rPr>
        <w:t>për kryerjen e punës si mentorë të</w:t>
      </w:r>
      <w:r w:rsidR="009F778E" w:rsidRPr="009F778E">
        <w:rPr>
          <w:color w:val="4472C4" w:themeColor="accent1"/>
          <w:szCs w:val="24"/>
        </w:rPr>
        <w:t xml:space="preserve"> trajnimeve afatgjate (specializimeve)  përfitojnë një shtesë</w:t>
      </w:r>
      <w:r w:rsidRPr="009F778E">
        <w:rPr>
          <w:color w:val="4472C4" w:themeColor="accent1"/>
          <w:szCs w:val="24"/>
        </w:rPr>
        <w:t xml:space="preserve"> dhjetë për qind (10%) të pagës bazë, për të gjitha</w:t>
      </w:r>
      <w:r w:rsidR="009F778E" w:rsidRPr="009F778E">
        <w:rPr>
          <w:color w:val="4472C4" w:themeColor="accent1"/>
          <w:szCs w:val="24"/>
        </w:rPr>
        <w:t xml:space="preserve"> kandidates për</w:t>
      </w:r>
      <w:r w:rsidRPr="009F778E">
        <w:rPr>
          <w:color w:val="4472C4" w:themeColor="accent1"/>
          <w:szCs w:val="24"/>
        </w:rPr>
        <w:t xml:space="preserve"> vitit akademik. Shtesa sipas këtij p</w:t>
      </w:r>
      <w:r w:rsidR="009F778E" w:rsidRPr="009F778E">
        <w:rPr>
          <w:color w:val="4472C4" w:themeColor="accent1"/>
          <w:szCs w:val="24"/>
        </w:rPr>
        <w:t>aragrafi, merret në baza mujore. (</w:t>
      </w:r>
      <w:r w:rsidR="009F778E" w:rsidRPr="009F778E">
        <w:rPr>
          <w:color w:val="4472C4" w:themeColor="accent1"/>
          <w:szCs w:val="24"/>
        </w:rPr>
        <w:t xml:space="preserve">Te shtohet </w:t>
      </w:r>
      <w:r w:rsidR="009F778E" w:rsidRPr="009F778E">
        <w:rPr>
          <w:color w:val="4472C4" w:themeColor="accent1"/>
          <w:szCs w:val="24"/>
        </w:rPr>
        <w:t>per mentorimin e specializantev qe një mentor mund ti ket deri tre specializanta  per të gjithe periudhen e specializimit që zgjat  nga 3 në 6 vjet)</w:t>
      </w:r>
      <w:r w:rsidR="009F778E">
        <w:rPr>
          <w:color w:val="4472C4" w:themeColor="accent1"/>
          <w:szCs w:val="24"/>
        </w:rPr>
        <w:t>.</w:t>
      </w:r>
    </w:p>
    <w:p w:rsidR="009F778E" w:rsidRPr="009F778E" w:rsidRDefault="009F778E" w:rsidP="009F778E">
      <w:pPr>
        <w:pStyle w:val="ListParagraph"/>
        <w:rPr>
          <w:szCs w:val="24"/>
        </w:rPr>
      </w:pPr>
    </w:p>
    <w:p w:rsidR="009F778E" w:rsidRPr="00D6000D" w:rsidRDefault="009F778E" w:rsidP="009F778E">
      <w:pPr>
        <w:widowControl/>
        <w:autoSpaceDE/>
        <w:autoSpaceDN/>
        <w:spacing w:after="160"/>
        <w:ind w:right="0"/>
        <w:jc w:val="center"/>
        <w:rPr>
          <w:b/>
          <w:bCs/>
          <w:szCs w:val="24"/>
        </w:rPr>
      </w:pPr>
    </w:p>
    <w:p w:rsidR="009F778E" w:rsidRPr="00D6000D" w:rsidRDefault="009F778E" w:rsidP="009F778E">
      <w:pPr>
        <w:widowControl/>
        <w:autoSpaceDE/>
        <w:autoSpaceDN/>
        <w:spacing w:after="160"/>
        <w:ind w:right="0"/>
        <w:jc w:val="center"/>
        <w:rPr>
          <w:b/>
          <w:bCs/>
          <w:szCs w:val="24"/>
        </w:rPr>
      </w:pPr>
      <w:r w:rsidRPr="00D6000D">
        <w:rPr>
          <w:b/>
          <w:bCs/>
          <w:szCs w:val="24"/>
        </w:rPr>
        <w:t>Neni 36</w:t>
      </w:r>
      <w:r w:rsidRPr="00D6000D">
        <w:rPr>
          <w:b/>
          <w:bCs/>
          <w:szCs w:val="24"/>
        </w:rPr>
        <w:br/>
        <w:t>Kompensimi për kujdestari, punën gjatë natës dhe jashtë orarit të punës</w:t>
      </w:r>
    </w:p>
    <w:p w:rsidR="009F778E" w:rsidRPr="009F778E" w:rsidRDefault="009F778E" w:rsidP="009F778E">
      <w:pPr>
        <w:widowControl/>
        <w:autoSpaceDE/>
        <w:autoSpaceDN/>
        <w:ind w:left="0" w:right="150"/>
        <w:jc w:val="both"/>
        <w:rPr>
          <w:bCs/>
          <w:color w:val="4472C4" w:themeColor="accent1"/>
          <w:szCs w:val="24"/>
        </w:rPr>
      </w:pPr>
      <w:r>
        <w:rPr>
          <w:bCs/>
          <w:szCs w:val="24"/>
        </w:rPr>
        <w:lastRenderedPageBreak/>
        <w:t>Paragrafi 3</w:t>
      </w:r>
      <w:r w:rsidRPr="009F778E">
        <w:rPr>
          <w:bCs/>
          <w:szCs w:val="24"/>
        </w:rPr>
        <w:t xml:space="preserve"> </w:t>
      </w:r>
      <w:r w:rsidRPr="009F778E">
        <w:rPr>
          <w:bCs/>
          <w:color w:val="4472C4" w:themeColor="accent1"/>
          <w:szCs w:val="24"/>
        </w:rPr>
        <w:t>Kompensimi p</w:t>
      </w:r>
      <w:r w:rsidRPr="009F778E">
        <w:rPr>
          <w:rFonts w:eastAsia="MS Mincho"/>
          <w:bCs/>
          <w:color w:val="4472C4" w:themeColor="accent1"/>
          <w:szCs w:val="24"/>
        </w:rPr>
        <w:t>ër kujdestari sipas këtij ligji</w:t>
      </w:r>
      <w:r w:rsidRPr="009F778E">
        <w:rPr>
          <w:bCs/>
          <w:color w:val="4472C4" w:themeColor="accent1"/>
          <w:szCs w:val="24"/>
        </w:rPr>
        <w:t xml:space="preserve"> nuk mund t</w:t>
      </w:r>
      <w:r w:rsidRPr="009F778E">
        <w:rPr>
          <w:rFonts w:eastAsia="MS Mincho"/>
          <w:bCs/>
          <w:color w:val="4472C4" w:themeColor="accent1"/>
          <w:szCs w:val="24"/>
        </w:rPr>
        <w:t xml:space="preserve">ë tejkalojë </w:t>
      </w:r>
      <w:r w:rsidRPr="009F778E">
        <w:rPr>
          <w:bCs/>
          <w:color w:val="4472C4" w:themeColor="accent1"/>
          <w:szCs w:val="24"/>
        </w:rPr>
        <w:t>20% të pagës bazë.</w:t>
      </w:r>
      <w:r>
        <w:rPr>
          <w:bCs/>
          <w:color w:val="4472C4" w:themeColor="accent1"/>
          <w:szCs w:val="24"/>
        </w:rPr>
        <w:t xml:space="preserve"> S</w:t>
      </w:r>
      <w:bookmarkStart w:id="0" w:name="_GoBack"/>
      <w:bookmarkEnd w:id="0"/>
      <w:r w:rsidRPr="009F778E">
        <w:rPr>
          <w:bCs/>
          <w:color w:val="4472C4" w:themeColor="accent1"/>
          <w:szCs w:val="24"/>
        </w:rPr>
        <w:t>i i tille ne sitemin shëndetsore krijon veshtirsi (që çon drejt kolapsit) ne zbatueshmei per ofrim te shenbimeve mjeksor  te vazhdueshëme 24</w:t>
      </w:r>
      <w:r>
        <w:rPr>
          <w:bCs/>
          <w:color w:val="4472C4" w:themeColor="accent1"/>
          <w:szCs w:val="24"/>
        </w:rPr>
        <w:t>/7.</w:t>
      </w:r>
    </w:p>
    <w:p w:rsidR="009F778E" w:rsidRPr="009F778E" w:rsidRDefault="009F778E" w:rsidP="009F778E">
      <w:pPr>
        <w:widowControl/>
        <w:adjustRightInd w:val="0"/>
        <w:ind w:right="153"/>
        <w:contextualSpacing/>
        <w:jc w:val="both"/>
        <w:rPr>
          <w:szCs w:val="24"/>
        </w:rPr>
      </w:pPr>
    </w:p>
    <w:p w:rsidR="006D6B93" w:rsidRDefault="006D6B93" w:rsidP="006C24DC">
      <w:pPr>
        <w:widowControl/>
        <w:tabs>
          <w:tab w:val="left" w:pos="445"/>
          <w:tab w:val="left" w:pos="4415"/>
        </w:tabs>
        <w:adjustRightInd w:val="0"/>
        <w:ind w:left="0" w:right="153"/>
        <w:contextualSpacing/>
        <w:jc w:val="center"/>
      </w:pPr>
    </w:p>
    <w:sectPr w:rsidR="006D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68F"/>
    <w:multiLevelType w:val="hybridMultilevel"/>
    <w:tmpl w:val="5AB2C758"/>
    <w:lvl w:ilvl="0" w:tplc="F4B8FC94">
      <w:start w:val="1"/>
      <w:numFmt w:val="upperRoman"/>
      <w:pStyle w:val="Heading2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A8328C"/>
    <w:multiLevelType w:val="multilevel"/>
    <w:tmpl w:val="4EA0E16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AA01CA"/>
    <w:multiLevelType w:val="multilevel"/>
    <w:tmpl w:val="C9B6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B37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773FE7"/>
    <w:multiLevelType w:val="hybridMultilevel"/>
    <w:tmpl w:val="9E465A4A"/>
    <w:lvl w:ilvl="0" w:tplc="5C2433AC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>
    <w:nsid w:val="41A64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DE4F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B0F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762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E6707A"/>
    <w:multiLevelType w:val="multilevel"/>
    <w:tmpl w:val="B2308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D73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DC"/>
    <w:rsid w:val="006C24DC"/>
    <w:rsid w:val="006D6B93"/>
    <w:rsid w:val="008814BD"/>
    <w:rsid w:val="009C2108"/>
    <w:rsid w:val="009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0DE11-CFC6-4FE6-90FE-88C6C36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24DC"/>
    <w:pPr>
      <w:widowControl w:val="0"/>
      <w:autoSpaceDE w:val="0"/>
      <w:autoSpaceDN w:val="0"/>
      <w:spacing w:after="0" w:line="240" w:lineRule="auto"/>
      <w:ind w:left="85" w:right="63"/>
    </w:pPr>
    <w:rPr>
      <w:rFonts w:ascii="Times New Roman" w:eastAsia="Times New Roman" w:hAnsi="Times New Roman" w:cs="Times New Roman"/>
      <w:sz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4DC"/>
    <w:pPr>
      <w:keepNext/>
      <w:keepLines/>
      <w:widowControl/>
      <w:autoSpaceDE/>
      <w:autoSpaceDN/>
      <w:spacing w:before="24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4DC"/>
    <w:pPr>
      <w:keepNext/>
      <w:numPr>
        <w:numId w:val="2"/>
      </w:numPr>
      <w:shd w:val="clear" w:color="auto" w:fill="BFBFBF"/>
      <w:autoSpaceDE/>
      <w:autoSpaceDN/>
      <w:jc w:val="both"/>
      <w:outlineLvl w:val="1"/>
    </w:pPr>
    <w:rPr>
      <w:b/>
      <w:snapToGrid w:val="0"/>
      <w:sz w:val="28"/>
      <w:shd w:val="clear" w:color="auto" w:fill="BFBF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,Bullet "/>
    <w:basedOn w:val="Normal"/>
    <w:link w:val="ListParagraphChar"/>
    <w:uiPriority w:val="34"/>
    <w:qFormat/>
    <w:rsid w:val="006C24DC"/>
  </w:style>
  <w:style w:type="character" w:customStyle="1" w:styleId="ListParagraphChar">
    <w:name w:val="List Paragraph Char"/>
    <w:aliases w:val="OM numbered bullets Char,1st level - Bullet List Paragraph Char,Lettre d'introduction Char,Normal bullet 2 Char,Bullet list Char,Listenabsatz1 Char,Table of contents numbered Char,F5 List Paragraph Char,Numbered List Char"/>
    <w:link w:val="ListParagraph"/>
    <w:uiPriority w:val="34"/>
    <w:rsid w:val="006C24DC"/>
    <w:rPr>
      <w:rFonts w:ascii="Times New Roman" w:eastAsia="Times New Roman" w:hAnsi="Times New Roman" w:cs="Times New Roman"/>
      <w:sz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6C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4DC"/>
    <w:rPr>
      <w:rFonts w:ascii="Times New Roman" w:eastAsia="Times New Roman" w:hAnsi="Times New Roman" w:cs="Times New Roman"/>
      <w:b/>
      <w:snapToGrid w:val="0"/>
      <w:sz w:val="28"/>
      <w:shd w:val="clear" w:color="auto" w:fill="BFBFBF"/>
    </w:rPr>
  </w:style>
  <w:style w:type="paragraph" w:styleId="NoSpacing">
    <w:name w:val="No Spacing"/>
    <w:uiPriority w:val="1"/>
    <w:qFormat/>
    <w:rsid w:val="006C24DC"/>
    <w:pPr>
      <w:widowControl w:val="0"/>
      <w:autoSpaceDE w:val="0"/>
      <w:autoSpaceDN w:val="0"/>
      <w:spacing w:after="0" w:line="240" w:lineRule="auto"/>
      <w:ind w:left="85" w:right="63"/>
    </w:pPr>
    <w:rPr>
      <w:rFonts w:ascii="Times New Roman" w:eastAsia="Times New Roman" w:hAnsi="Times New Roman" w:cs="Times New Roman"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2022-10-05T22:08:00Z</dcterms:created>
  <dcterms:modified xsi:type="dcterms:W3CDTF">2022-10-05T22:49:00Z</dcterms:modified>
</cp:coreProperties>
</file>