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37518" w14:textId="77777777" w:rsidR="0047230E" w:rsidRPr="00621CF2" w:rsidRDefault="00791CC1">
      <w:pPr>
        <w:ind w:left="-90"/>
        <w:jc w:val="center"/>
        <w:rPr>
          <w:rFonts w:ascii="Times New Roman" w:eastAsia="Book Antiqua" w:hAnsi="Times New Roman" w:cs="Times New Roman"/>
          <w:sz w:val="20"/>
          <w:szCs w:val="20"/>
        </w:rPr>
      </w:pPr>
      <w:r w:rsidRPr="00621CF2">
        <w:rPr>
          <w:rFonts w:ascii="Times New Roman" w:eastAsia="Book Antiqua" w:hAnsi="Times New Roman" w:cs="Times New Roman"/>
          <w:noProof/>
          <w:sz w:val="20"/>
          <w:szCs w:val="20"/>
        </w:rPr>
        <w:drawing>
          <wp:inline distT="0" distB="0" distL="0" distR="0" wp14:anchorId="515229E3" wp14:editId="581DDA88">
            <wp:extent cx="872490" cy="92837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72490" cy="928370"/>
                    </a:xfrm>
                    <a:prstGeom prst="rect">
                      <a:avLst/>
                    </a:prstGeom>
                    <a:ln/>
                  </pic:spPr>
                </pic:pic>
              </a:graphicData>
            </a:graphic>
          </wp:inline>
        </w:drawing>
      </w:r>
    </w:p>
    <w:p w14:paraId="21300BE9" w14:textId="77777777" w:rsidR="0047230E" w:rsidRPr="00621CF2" w:rsidRDefault="0047230E">
      <w:pPr>
        <w:ind w:left="-90"/>
        <w:jc w:val="center"/>
        <w:rPr>
          <w:rFonts w:ascii="Times New Roman" w:eastAsia="Book Antiqua" w:hAnsi="Times New Roman" w:cs="Times New Roman"/>
          <w:sz w:val="20"/>
          <w:szCs w:val="20"/>
        </w:rPr>
      </w:pPr>
    </w:p>
    <w:p w14:paraId="4B45BC97" w14:textId="77777777" w:rsidR="0047230E" w:rsidRPr="00621CF2" w:rsidRDefault="00791CC1">
      <w:pPr>
        <w:pStyle w:val="Title"/>
        <w:rPr>
          <w:rFonts w:eastAsia="Book Antiqua"/>
          <w:sz w:val="32"/>
          <w:szCs w:val="32"/>
        </w:rPr>
      </w:pPr>
      <w:r w:rsidRPr="00621CF2">
        <w:rPr>
          <w:rFonts w:eastAsia="Book Antiqua"/>
          <w:sz w:val="32"/>
          <w:szCs w:val="32"/>
        </w:rPr>
        <w:t>Republika e Kosovës</w:t>
      </w:r>
    </w:p>
    <w:p w14:paraId="4D60C99E" w14:textId="77777777" w:rsidR="0047230E" w:rsidRPr="00621CF2" w:rsidRDefault="00791CC1">
      <w:pPr>
        <w:pStyle w:val="Title"/>
        <w:rPr>
          <w:rFonts w:eastAsia="Book Antiqua"/>
          <w:sz w:val="28"/>
          <w:szCs w:val="28"/>
        </w:rPr>
      </w:pPr>
      <w:r w:rsidRPr="00621CF2">
        <w:rPr>
          <w:rFonts w:eastAsia="Book Antiqua"/>
          <w:sz w:val="28"/>
          <w:szCs w:val="28"/>
        </w:rPr>
        <w:t xml:space="preserve">Republika Kosova - </w:t>
      </w:r>
      <w:proofErr w:type="spellStart"/>
      <w:r w:rsidRPr="00621CF2">
        <w:rPr>
          <w:rFonts w:eastAsia="Book Antiqua"/>
          <w:sz w:val="28"/>
          <w:szCs w:val="28"/>
        </w:rPr>
        <w:t>Republic</w:t>
      </w:r>
      <w:proofErr w:type="spellEnd"/>
      <w:r w:rsidRPr="00621CF2">
        <w:rPr>
          <w:rFonts w:eastAsia="Book Antiqua"/>
          <w:sz w:val="28"/>
          <w:szCs w:val="28"/>
        </w:rPr>
        <w:t xml:space="preserve"> </w:t>
      </w:r>
      <w:proofErr w:type="spellStart"/>
      <w:r w:rsidRPr="00621CF2">
        <w:rPr>
          <w:rFonts w:eastAsia="Book Antiqua"/>
          <w:sz w:val="28"/>
          <w:szCs w:val="28"/>
        </w:rPr>
        <w:t>of</w:t>
      </w:r>
      <w:proofErr w:type="spellEnd"/>
      <w:r w:rsidRPr="00621CF2">
        <w:rPr>
          <w:rFonts w:eastAsia="Book Antiqua"/>
          <w:sz w:val="28"/>
          <w:szCs w:val="28"/>
        </w:rPr>
        <w:t xml:space="preserve"> </w:t>
      </w:r>
      <w:proofErr w:type="spellStart"/>
      <w:r w:rsidRPr="00621CF2">
        <w:rPr>
          <w:rFonts w:eastAsia="Book Antiqua"/>
          <w:sz w:val="28"/>
          <w:szCs w:val="28"/>
        </w:rPr>
        <w:t>Kosovo</w:t>
      </w:r>
      <w:proofErr w:type="spellEnd"/>
    </w:p>
    <w:p w14:paraId="1523874C" w14:textId="77777777" w:rsidR="0047230E" w:rsidRPr="00621CF2" w:rsidRDefault="00791CC1">
      <w:pPr>
        <w:pStyle w:val="Title"/>
        <w:rPr>
          <w:rFonts w:eastAsia="Book Antiqua"/>
          <w:i/>
        </w:rPr>
      </w:pPr>
      <w:r w:rsidRPr="00621CF2">
        <w:rPr>
          <w:rFonts w:eastAsia="Book Antiqua"/>
          <w:i/>
        </w:rPr>
        <w:t xml:space="preserve">Qeveria - </w:t>
      </w:r>
      <w:proofErr w:type="spellStart"/>
      <w:r w:rsidRPr="00621CF2">
        <w:rPr>
          <w:rFonts w:eastAsia="Book Antiqua"/>
          <w:i/>
        </w:rPr>
        <w:t>Vlada</w:t>
      </w:r>
      <w:proofErr w:type="spellEnd"/>
      <w:r w:rsidRPr="00621CF2">
        <w:rPr>
          <w:rFonts w:eastAsia="Book Antiqua"/>
          <w:i/>
        </w:rPr>
        <w:t xml:space="preserve"> - </w:t>
      </w:r>
      <w:proofErr w:type="spellStart"/>
      <w:r w:rsidRPr="00621CF2">
        <w:rPr>
          <w:rFonts w:eastAsia="Book Antiqua"/>
          <w:i/>
        </w:rPr>
        <w:t>Government</w:t>
      </w:r>
      <w:proofErr w:type="spellEnd"/>
    </w:p>
    <w:p w14:paraId="0F0A1A5F" w14:textId="77777777" w:rsidR="0047230E" w:rsidRPr="00621CF2" w:rsidRDefault="0047230E">
      <w:pPr>
        <w:jc w:val="center"/>
        <w:rPr>
          <w:rFonts w:ascii="Times New Roman" w:eastAsia="Book Antiqua" w:hAnsi="Times New Roman" w:cs="Times New Roman"/>
          <w:b/>
          <w:sz w:val="20"/>
          <w:szCs w:val="20"/>
        </w:rPr>
      </w:pPr>
    </w:p>
    <w:p w14:paraId="11A264FD" w14:textId="77777777" w:rsidR="0047230E" w:rsidRPr="00621CF2" w:rsidRDefault="00791CC1">
      <w:pPr>
        <w:jc w:val="center"/>
        <w:rPr>
          <w:rFonts w:ascii="Times New Roman" w:eastAsia="Book Antiqua" w:hAnsi="Times New Roman" w:cs="Times New Roman"/>
          <w:b/>
          <w:sz w:val="22"/>
          <w:szCs w:val="22"/>
        </w:rPr>
      </w:pPr>
      <w:r w:rsidRPr="00621CF2">
        <w:rPr>
          <w:rFonts w:ascii="Times New Roman" w:eastAsia="Book Antiqua" w:hAnsi="Times New Roman" w:cs="Times New Roman"/>
          <w:b/>
          <w:sz w:val="22"/>
          <w:szCs w:val="22"/>
        </w:rPr>
        <w:t>MINISTRIA E ADMINISTRIMIT TË PUSHTETIT LOKAL</w:t>
      </w:r>
    </w:p>
    <w:p w14:paraId="1E08F369" w14:textId="77777777" w:rsidR="0047230E" w:rsidRPr="00621CF2" w:rsidRDefault="00791CC1">
      <w:pPr>
        <w:jc w:val="center"/>
        <w:rPr>
          <w:rFonts w:ascii="Times New Roman" w:eastAsia="Book Antiqua" w:hAnsi="Times New Roman" w:cs="Times New Roman"/>
          <w:b/>
          <w:sz w:val="22"/>
          <w:szCs w:val="22"/>
        </w:rPr>
      </w:pPr>
      <w:r w:rsidRPr="00621CF2">
        <w:rPr>
          <w:rFonts w:ascii="Times New Roman" w:eastAsia="Book Antiqua" w:hAnsi="Times New Roman" w:cs="Times New Roman"/>
          <w:b/>
          <w:sz w:val="22"/>
          <w:szCs w:val="22"/>
        </w:rPr>
        <w:t>MINISTARSTVO  ADMINISTRACIJE LOKALNE SAMOUPRAVE/</w:t>
      </w:r>
      <w:r w:rsidRPr="00621CF2">
        <w:rPr>
          <w:rFonts w:ascii="Times New Roman" w:eastAsia="Book Antiqua" w:hAnsi="Times New Roman" w:cs="Times New Roman"/>
          <w:sz w:val="22"/>
          <w:szCs w:val="22"/>
        </w:rPr>
        <w:t xml:space="preserve"> </w:t>
      </w:r>
      <w:r w:rsidRPr="00621CF2">
        <w:rPr>
          <w:rFonts w:ascii="Times New Roman" w:eastAsia="Book Antiqua" w:hAnsi="Times New Roman" w:cs="Times New Roman"/>
          <w:b/>
          <w:sz w:val="22"/>
          <w:szCs w:val="22"/>
        </w:rPr>
        <w:t>MINISTRY OF LOCAL GOVERNMENT ADMINISTRATION</w:t>
      </w:r>
    </w:p>
    <w:p w14:paraId="586ED125" w14:textId="77777777" w:rsidR="0047230E" w:rsidRPr="00621CF2" w:rsidRDefault="0047230E">
      <w:pPr>
        <w:jc w:val="center"/>
        <w:rPr>
          <w:rFonts w:ascii="Times New Roman" w:eastAsia="Book Antiqua" w:hAnsi="Times New Roman" w:cs="Times New Roman"/>
          <w:b/>
          <w:smallCaps/>
          <w:sz w:val="20"/>
          <w:szCs w:val="20"/>
        </w:rPr>
      </w:pPr>
    </w:p>
    <w:p w14:paraId="2E5A55A7" w14:textId="77777777" w:rsidR="0047230E" w:rsidRPr="00621CF2" w:rsidRDefault="0047230E">
      <w:pPr>
        <w:jc w:val="center"/>
        <w:rPr>
          <w:rFonts w:ascii="Times New Roman" w:eastAsia="Book Antiqua" w:hAnsi="Times New Roman" w:cs="Times New Roman"/>
          <w:b/>
          <w:smallCaps/>
          <w:sz w:val="20"/>
          <w:szCs w:val="20"/>
        </w:rPr>
      </w:pPr>
    </w:p>
    <w:p w14:paraId="5A94C002" w14:textId="77777777" w:rsidR="0047230E" w:rsidRPr="00621CF2" w:rsidRDefault="0047230E">
      <w:pPr>
        <w:jc w:val="center"/>
        <w:rPr>
          <w:rFonts w:ascii="Times New Roman" w:eastAsia="Book Antiqua" w:hAnsi="Times New Roman" w:cs="Times New Roman"/>
          <w:b/>
          <w:smallCaps/>
          <w:sz w:val="20"/>
          <w:szCs w:val="20"/>
        </w:rPr>
      </w:pPr>
    </w:p>
    <w:p w14:paraId="1796EC7D" w14:textId="77777777" w:rsidR="0047230E" w:rsidRPr="00621CF2" w:rsidRDefault="0047230E">
      <w:pPr>
        <w:jc w:val="center"/>
        <w:rPr>
          <w:rFonts w:ascii="Times New Roman" w:eastAsia="Book Antiqua" w:hAnsi="Times New Roman" w:cs="Times New Roman"/>
          <w:b/>
          <w:smallCaps/>
          <w:sz w:val="20"/>
          <w:szCs w:val="20"/>
        </w:rPr>
      </w:pPr>
    </w:p>
    <w:p w14:paraId="13FB3022" w14:textId="77777777" w:rsidR="0047230E" w:rsidRPr="00621CF2" w:rsidRDefault="0047230E">
      <w:pPr>
        <w:jc w:val="center"/>
        <w:rPr>
          <w:rFonts w:ascii="Times New Roman" w:eastAsia="Book Antiqua" w:hAnsi="Times New Roman" w:cs="Times New Roman"/>
          <w:b/>
          <w:smallCaps/>
          <w:sz w:val="20"/>
          <w:szCs w:val="20"/>
        </w:rPr>
      </w:pPr>
    </w:p>
    <w:p w14:paraId="647E8ADA" w14:textId="77777777" w:rsidR="0047230E" w:rsidRPr="00621CF2" w:rsidRDefault="0047230E">
      <w:pPr>
        <w:jc w:val="center"/>
        <w:rPr>
          <w:rFonts w:ascii="Times New Roman" w:eastAsia="Book Antiqua" w:hAnsi="Times New Roman" w:cs="Times New Roman"/>
          <w:b/>
          <w:sz w:val="20"/>
          <w:szCs w:val="20"/>
        </w:rPr>
      </w:pPr>
    </w:p>
    <w:p w14:paraId="65A1A89B" w14:textId="77777777" w:rsidR="0047230E" w:rsidRPr="00621CF2" w:rsidRDefault="0047230E">
      <w:pPr>
        <w:spacing w:before="240" w:after="120" w:line="312" w:lineRule="auto"/>
        <w:rPr>
          <w:rFonts w:ascii="Times New Roman" w:eastAsia="Book Antiqua" w:hAnsi="Times New Roman" w:cs="Times New Roman"/>
          <w:sz w:val="20"/>
          <w:szCs w:val="20"/>
        </w:rPr>
      </w:pPr>
    </w:p>
    <w:p w14:paraId="7FB85519" w14:textId="19E1AAD2" w:rsidR="00502B68" w:rsidRPr="00621CF2" w:rsidRDefault="00791CC1" w:rsidP="00502B68">
      <w:pPr>
        <w:jc w:val="center"/>
        <w:rPr>
          <w:rFonts w:ascii="Times New Roman" w:eastAsia="Book Antiqua" w:hAnsi="Times New Roman" w:cs="Times New Roman"/>
          <w:b/>
          <w:sz w:val="28"/>
          <w:szCs w:val="28"/>
        </w:rPr>
      </w:pPr>
      <w:r w:rsidRPr="00621CF2">
        <w:rPr>
          <w:rFonts w:ascii="Times New Roman" w:eastAsia="Book Antiqua" w:hAnsi="Times New Roman" w:cs="Times New Roman"/>
          <w:b/>
          <w:sz w:val="28"/>
          <w:szCs w:val="28"/>
        </w:rPr>
        <w:t xml:space="preserve">RAPORTI NGA PROCESI I KONSULTIMIT PUBLIK PËR </w:t>
      </w:r>
      <w:r w:rsidR="00502B68" w:rsidRPr="00621CF2">
        <w:rPr>
          <w:rFonts w:ascii="Times New Roman" w:eastAsia="Book Antiqua" w:hAnsi="Times New Roman" w:cs="Times New Roman"/>
          <w:b/>
          <w:sz w:val="28"/>
          <w:szCs w:val="28"/>
        </w:rPr>
        <w:t>PARTNERITETI PËR QEVERISJE TË HAPUR</w:t>
      </w:r>
    </w:p>
    <w:p w14:paraId="5DA5AA8C" w14:textId="77777777" w:rsidR="00502B68" w:rsidRPr="00621CF2" w:rsidRDefault="00502B68" w:rsidP="00502B68">
      <w:pPr>
        <w:jc w:val="center"/>
        <w:rPr>
          <w:rFonts w:ascii="Times New Roman" w:eastAsia="Book Antiqua" w:hAnsi="Times New Roman" w:cs="Times New Roman"/>
          <w:b/>
          <w:sz w:val="28"/>
          <w:szCs w:val="28"/>
        </w:rPr>
      </w:pPr>
    </w:p>
    <w:p w14:paraId="378CB079" w14:textId="77777777" w:rsidR="00502B68" w:rsidRPr="00621CF2" w:rsidRDefault="00502B68" w:rsidP="00502B68">
      <w:pPr>
        <w:jc w:val="center"/>
        <w:rPr>
          <w:rFonts w:ascii="Times New Roman" w:eastAsia="Book Antiqua" w:hAnsi="Times New Roman" w:cs="Times New Roman"/>
          <w:b/>
          <w:sz w:val="28"/>
          <w:szCs w:val="28"/>
        </w:rPr>
      </w:pPr>
      <w:r w:rsidRPr="00621CF2">
        <w:rPr>
          <w:rFonts w:ascii="Times New Roman" w:eastAsia="Book Antiqua" w:hAnsi="Times New Roman" w:cs="Times New Roman"/>
          <w:b/>
          <w:sz w:val="28"/>
          <w:szCs w:val="28"/>
        </w:rPr>
        <w:t>PLANI KOMBËTAR I VEPRIMIT</w:t>
      </w:r>
    </w:p>
    <w:p w14:paraId="2B5AF636" w14:textId="77777777" w:rsidR="00502B68" w:rsidRPr="00621CF2" w:rsidRDefault="00502B68" w:rsidP="00502B68">
      <w:pPr>
        <w:jc w:val="center"/>
        <w:rPr>
          <w:rFonts w:ascii="Times New Roman" w:eastAsia="Book Antiqua" w:hAnsi="Times New Roman" w:cs="Times New Roman"/>
          <w:b/>
          <w:sz w:val="28"/>
          <w:szCs w:val="28"/>
        </w:rPr>
      </w:pPr>
    </w:p>
    <w:p w14:paraId="5BA450CE" w14:textId="77777777" w:rsidR="00502B68" w:rsidRPr="00621CF2" w:rsidRDefault="00502B68" w:rsidP="00502B68">
      <w:pPr>
        <w:jc w:val="center"/>
        <w:rPr>
          <w:rFonts w:ascii="Times New Roman" w:eastAsia="Book Antiqua" w:hAnsi="Times New Roman" w:cs="Times New Roman"/>
          <w:b/>
          <w:sz w:val="28"/>
          <w:szCs w:val="28"/>
        </w:rPr>
      </w:pPr>
      <w:r w:rsidRPr="00621CF2">
        <w:rPr>
          <w:rFonts w:ascii="Times New Roman" w:eastAsia="Book Antiqua" w:hAnsi="Times New Roman" w:cs="Times New Roman"/>
          <w:b/>
          <w:sz w:val="28"/>
          <w:szCs w:val="28"/>
        </w:rPr>
        <w:t>2026–2028</w:t>
      </w:r>
    </w:p>
    <w:p w14:paraId="49BCCAD9" w14:textId="77777777" w:rsidR="00502B68" w:rsidRPr="00621CF2" w:rsidRDefault="00502B68" w:rsidP="00502B68">
      <w:pPr>
        <w:jc w:val="center"/>
        <w:rPr>
          <w:rFonts w:ascii="Times New Roman" w:eastAsia="Book Antiqua" w:hAnsi="Times New Roman" w:cs="Times New Roman"/>
          <w:b/>
          <w:sz w:val="28"/>
          <w:szCs w:val="28"/>
        </w:rPr>
      </w:pPr>
    </w:p>
    <w:p w14:paraId="7A821B08" w14:textId="6ABEC2C4" w:rsidR="0047230E" w:rsidRPr="00621CF2" w:rsidRDefault="00502B68" w:rsidP="00502B68">
      <w:pPr>
        <w:jc w:val="center"/>
        <w:rPr>
          <w:rFonts w:ascii="Times New Roman" w:eastAsia="Book Antiqua" w:hAnsi="Times New Roman" w:cs="Times New Roman"/>
          <w:sz w:val="20"/>
          <w:szCs w:val="20"/>
        </w:rPr>
      </w:pPr>
      <w:r w:rsidRPr="00621CF2">
        <w:rPr>
          <w:rFonts w:ascii="Times New Roman" w:eastAsia="Book Antiqua" w:hAnsi="Times New Roman" w:cs="Times New Roman"/>
          <w:b/>
          <w:sz w:val="28"/>
          <w:szCs w:val="28"/>
        </w:rPr>
        <w:t>Fuqizimi i Transparencës, Pjesëmarrjes dhe Llogaridhënies</w:t>
      </w:r>
      <w:r w:rsidR="00791CC1" w:rsidRPr="00621CF2">
        <w:rPr>
          <w:rFonts w:ascii="Times New Roman" w:eastAsia="Book Antiqua" w:hAnsi="Times New Roman" w:cs="Times New Roman"/>
          <w:sz w:val="20"/>
          <w:szCs w:val="20"/>
        </w:rPr>
        <w:t xml:space="preserve"> </w:t>
      </w:r>
    </w:p>
    <w:p w14:paraId="6C53F6CB" w14:textId="77777777" w:rsidR="0047230E" w:rsidRPr="00621CF2" w:rsidRDefault="0047230E">
      <w:pPr>
        <w:jc w:val="center"/>
        <w:rPr>
          <w:rFonts w:ascii="Times New Roman" w:eastAsia="Book Antiqua" w:hAnsi="Times New Roman" w:cs="Times New Roman"/>
          <w:b/>
          <w:sz w:val="20"/>
          <w:szCs w:val="20"/>
        </w:rPr>
      </w:pPr>
    </w:p>
    <w:p w14:paraId="6C2FB15F" w14:textId="77777777" w:rsidR="0047230E" w:rsidRPr="00621CF2" w:rsidRDefault="0047230E">
      <w:pPr>
        <w:spacing w:before="240" w:after="120" w:line="312" w:lineRule="auto"/>
        <w:jc w:val="center"/>
        <w:rPr>
          <w:rFonts w:ascii="Times New Roman" w:eastAsia="Book Antiqua" w:hAnsi="Times New Roman" w:cs="Times New Roman"/>
          <w:sz w:val="20"/>
          <w:szCs w:val="20"/>
        </w:rPr>
      </w:pPr>
    </w:p>
    <w:p w14:paraId="308AB77A" w14:textId="77777777" w:rsidR="0047230E" w:rsidRPr="00621CF2" w:rsidRDefault="0047230E">
      <w:pPr>
        <w:spacing w:before="240" w:after="120" w:line="312" w:lineRule="auto"/>
        <w:jc w:val="center"/>
        <w:rPr>
          <w:rFonts w:ascii="Times New Roman" w:eastAsia="Book Antiqua" w:hAnsi="Times New Roman" w:cs="Times New Roman"/>
          <w:sz w:val="20"/>
          <w:szCs w:val="20"/>
        </w:rPr>
      </w:pPr>
    </w:p>
    <w:p w14:paraId="54AD8CAD" w14:textId="77777777" w:rsidR="0047230E" w:rsidRPr="00621CF2" w:rsidRDefault="0047230E">
      <w:pPr>
        <w:spacing w:before="240" w:after="120" w:line="312" w:lineRule="auto"/>
        <w:jc w:val="center"/>
        <w:rPr>
          <w:rFonts w:ascii="Times New Roman" w:eastAsia="Book Antiqua" w:hAnsi="Times New Roman" w:cs="Times New Roman"/>
          <w:sz w:val="20"/>
          <w:szCs w:val="20"/>
        </w:rPr>
      </w:pPr>
    </w:p>
    <w:p w14:paraId="20FA9C05" w14:textId="77777777" w:rsidR="0047230E" w:rsidRPr="00621CF2" w:rsidRDefault="0047230E">
      <w:pPr>
        <w:spacing w:before="240" w:after="120" w:line="312" w:lineRule="auto"/>
        <w:jc w:val="center"/>
        <w:rPr>
          <w:rFonts w:ascii="Times New Roman" w:eastAsia="Book Antiqua" w:hAnsi="Times New Roman" w:cs="Times New Roman"/>
          <w:sz w:val="20"/>
          <w:szCs w:val="20"/>
        </w:rPr>
      </w:pPr>
    </w:p>
    <w:p w14:paraId="4940371E" w14:textId="77777777" w:rsidR="0047230E" w:rsidRPr="00621CF2" w:rsidRDefault="0047230E">
      <w:pPr>
        <w:spacing w:before="240" w:after="120" w:line="312" w:lineRule="auto"/>
        <w:jc w:val="center"/>
        <w:rPr>
          <w:rFonts w:ascii="Times New Roman" w:eastAsia="Book Antiqua" w:hAnsi="Times New Roman" w:cs="Times New Roman"/>
          <w:sz w:val="20"/>
          <w:szCs w:val="20"/>
        </w:rPr>
      </w:pPr>
    </w:p>
    <w:p w14:paraId="3F8F68CB" w14:textId="0164760D" w:rsidR="0047230E" w:rsidRPr="00621CF2" w:rsidRDefault="00697830">
      <w:pPr>
        <w:spacing w:before="240" w:after="120" w:line="312" w:lineRule="auto"/>
        <w:jc w:val="center"/>
        <w:rPr>
          <w:rFonts w:ascii="Times New Roman" w:eastAsia="Book Antiqua" w:hAnsi="Times New Roman" w:cs="Times New Roman"/>
          <w:b/>
        </w:rPr>
      </w:pPr>
      <w:r w:rsidRPr="00621CF2">
        <w:rPr>
          <w:rFonts w:ascii="Times New Roman" w:eastAsia="Book Antiqua" w:hAnsi="Times New Roman" w:cs="Times New Roman"/>
          <w:b/>
        </w:rPr>
        <w:t>Prill</w:t>
      </w:r>
      <w:r w:rsidR="00791CC1" w:rsidRPr="00621CF2">
        <w:rPr>
          <w:rFonts w:ascii="Times New Roman" w:eastAsia="Book Antiqua" w:hAnsi="Times New Roman" w:cs="Times New Roman"/>
          <w:b/>
        </w:rPr>
        <w:t xml:space="preserve"> 202</w:t>
      </w:r>
      <w:r w:rsidRPr="00621CF2">
        <w:rPr>
          <w:rFonts w:ascii="Times New Roman" w:eastAsia="Book Antiqua" w:hAnsi="Times New Roman" w:cs="Times New Roman"/>
          <w:b/>
        </w:rPr>
        <w:t>6</w:t>
      </w:r>
    </w:p>
    <w:p w14:paraId="7BB406FD" w14:textId="77777777" w:rsidR="0047230E" w:rsidRPr="00621CF2" w:rsidRDefault="0047230E">
      <w:pPr>
        <w:jc w:val="center"/>
        <w:rPr>
          <w:rFonts w:ascii="Times New Roman" w:eastAsia="Calibri" w:hAnsi="Times New Roman" w:cs="Times New Roman"/>
          <w:b/>
          <w:sz w:val="20"/>
          <w:szCs w:val="20"/>
        </w:rPr>
      </w:pPr>
    </w:p>
    <w:p w14:paraId="4B576115" w14:textId="77777777" w:rsidR="00697830" w:rsidRDefault="00697830">
      <w:pPr>
        <w:spacing w:line="276" w:lineRule="auto"/>
        <w:jc w:val="center"/>
        <w:rPr>
          <w:rFonts w:ascii="Times New Roman" w:eastAsia="Calibri" w:hAnsi="Times New Roman" w:cs="Times New Roman"/>
          <w:b/>
          <w:sz w:val="22"/>
          <w:szCs w:val="22"/>
        </w:rPr>
      </w:pPr>
    </w:p>
    <w:p w14:paraId="2A883FB9" w14:textId="77777777" w:rsidR="0076028B" w:rsidRPr="00621CF2" w:rsidRDefault="0076028B">
      <w:pPr>
        <w:spacing w:line="276" w:lineRule="auto"/>
        <w:jc w:val="center"/>
        <w:rPr>
          <w:rFonts w:ascii="Times New Roman" w:eastAsia="Calibri" w:hAnsi="Times New Roman" w:cs="Times New Roman"/>
          <w:b/>
          <w:sz w:val="22"/>
          <w:szCs w:val="22"/>
        </w:rPr>
      </w:pPr>
    </w:p>
    <w:p w14:paraId="447D108B" w14:textId="778F30FD" w:rsidR="0047230E" w:rsidRPr="00621CF2" w:rsidRDefault="00791CC1">
      <w:pPr>
        <w:spacing w:line="276" w:lineRule="auto"/>
        <w:jc w:val="center"/>
        <w:rPr>
          <w:rFonts w:ascii="Times New Roman" w:eastAsia="Calibri" w:hAnsi="Times New Roman" w:cs="Times New Roman"/>
          <w:b/>
          <w:sz w:val="22"/>
          <w:szCs w:val="22"/>
        </w:rPr>
      </w:pPr>
      <w:r w:rsidRPr="00621CF2">
        <w:rPr>
          <w:rFonts w:ascii="Times New Roman" w:eastAsia="Calibri" w:hAnsi="Times New Roman" w:cs="Times New Roman"/>
          <w:b/>
          <w:sz w:val="22"/>
          <w:szCs w:val="22"/>
        </w:rPr>
        <w:lastRenderedPageBreak/>
        <w:t>Hyrje</w:t>
      </w:r>
    </w:p>
    <w:p w14:paraId="0CF08F6C" w14:textId="77777777" w:rsidR="0047230E" w:rsidRPr="00621CF2" w:rsidRDefault="0047230E" w:rsidP="00502B68">
      <w:pPr>
        <w:pStyle w:val="Title"/>
        <w:spacing w:line="276" w:lineRule="auto"/>
        <w:jc w:val="both"/>
        <w:rPr>
          <w:rFonts w:eastAsia="Calibri"/>
          <w:b w:val="0"/>
          <w:sz w:val="22"/>
          <w:szCs w:val="22"/>
        </w:rPr>
      </w:pPr>
    </w:p>
    <w:p w14:paraId="2C2A29A7" w14:textId="00089E73" w:rsidR="00502B68" w:rsidRPr="00621CF2" w:rsidRDefault="00502B68" w:rsidP="00502B68">
      <w:pPr>
        <w:pStyle w:val="Title"/>
        <w:spacing w:line="276" w:lineRule="auto"/>
        <w:jc w:val="both"/>
        <w:rPr>
          <w:rFonts w:eastAsia="Calibri"/>
          <w:b w:val="0"/>
          <w:sz w:val="22"/>
          <w:szCs w:val="22"/>
        </w:rPr>
      </w:pPr>
      <w:r w:rsidRPr="00621CF2">
        <w:rPr>
          <w:rFonts w:eastAsia="Calibri"/>
          <w:b w:val="0"/>
          <w:sz w:val="22"/>
          <w:szCs w:val="22"/>
        </w:rPr>
        <w:t>Plani i Veprimit 2026–2028 paraqet një avancim strategjik në qasjen institucionale ndaj qeverisjes së hapur, i bazuar në mësimet e nxjerra nga zbatimi i planit të mëparshëm, plani përmban një vizion të qartë për adresimin e sfidave dhe shfrytëzimin e mundësive qe mund të ndjekjen në vijim. Cikli i analizës së Planit të Veprimit paraprak ofroi përvoja dhe mësime të vlefshme, duke dëshmuar se një nivel i lartë ambicieje duhet të shoqërohet me masa konkrete, të fokusuara dhe të zbatueshme. Në këtë kontekst, ky plan përmban qasje “më të thellë, jo më të gjerë”. Në vend të një numri të madh zotimeve, janë përcaktuar pesë ndërhyrje strategjike prioritare, që adresojnë mundësitë për të përmirësuar transparencën, pjesëmarrjen dhe llogaridhënien në Kosovë. Kjo qasje nuk nënkupton ulje të ambicieve, por një fokusim më të madh drejtë përpjekjeve për të arritur rezultate të prekshme, konkrete dhe më të qëndrueshme.</w:t>
      </w:r>
    </w:p>
    <w:p w14:paraId="688CB505" w14:textId="77777777" w:rsidR="00502B68" w:rsidRPr="00621CF2" w:rsidRDefault="00502B68" w:rsidP="00502B68">
      <w:pPr>
        <w:pStyle w:val="Title"/>
        <w:spacing w:line="276" w:lineRule="auto"/>
        <w:jc w:val="both"/>
        <w:rPr>
          <w:rFonts w:eastAsia="Calibri"/>
          <w:b w:val="0"/>
          <w:sz w:val="22"/>
          <w:szCs w:val="22"/>
        </w:rPr>
      </w:pPr>
    </w:p>
    <w:p w14:paraId="79E40BA1" w14:textId="66A3EFE1" w:rsidR="00502B68" w:rsidRDefault="00502B68" w:rsidP="00502B68">
      <w:pPr>
        <w:pStyle w:val="Title"/>
        <w:spacing w:line="276" w:lineRule="auto"/>
        <w:jc w:val="both"/>
        <w:rPr>
          <w:rFonts w:eastAsia="Calibri"/>
          <w:b w:val="0"/>
          <w:sz w:val="22"/>
          <w:szCs w:val="22"/>
        </w:rPr>
      </w:pPr>
      <w:r w:rsidRPr="00621CF2">
        <w:rPr>
          <w:rFonts w:eastAsia="Calibri"/>
          <w:b w:val="0"/>
          <w:sz w:val="22"/>
          <w:szCs w:val="22"/>
        </w:rPr>
        <w:t>Përzgjedhja dhe zhvillimi i këtyre zotimeve u realizuar përmes një procesi intensiv të bashkëpunimit me një qasje gjithëpërfshirës të bashkë-krijimit, që u zhvillua gjatë muajve nëntor 2025 - janar 2026. Përmes anketave dhe një punëtorie gjithëpërfshirëse me të gjithë palët e interesit u përmbyll cikli i hartimit të planit të veprimit në janar 2026, institucionet qeveritare dhe përfaqësuesit e shoqërisë civile bashkëpunuan ngushtë gjatë gjithë procesit për të identifikuar sfidat kryesore, për të përcaktuar prioritetet dhe për të ndërtuar një ndjenjë të përbashkët përgjegjësie (</w:t>
      </w:r>
      <w:proofErr w:type="spellStart"/>
      <w:r w:rsidRPr="00621CF2">
        <w:rPr>
          <w:rFonts w:eastAsia="Calibri"/>
          <w:b w:val="0"/>
          <w:sz w:val="22"/>
          <w:szCs w:val="22"/>
        </w:rPr>
        <w:t>sinergjie</w:t>
      </w:r>
      <w:proofErr w:type="spellEnd"/>
      <w:r w:rsidRPr="00621CF2">
        <w:rPr>
          <w:rFonts w:eastAsia="Calibri"/>
          <w:b w:val="0"/>
          <w:sz w:val="22"/>
          <w:szCs w:val="22"/>
        </w:rPr>
        <w:t>) duke krijuar tek te gjithë bashkëpunëtoret ndjenjën e pronësisë mbi përcaktimin e këtyre zotime.</w:t>
      </w:r>
    </w:p>
    <w:p w14:paraId="19020E96" w14:textId="77777777" w:rsidR="00B431B8" w:rsidRPr="00B431B8" w:rsidRDefault="00B431B8" w:rsidP="00B431B8"/>
    <w:p w14:paraId="669F85E0" w14:textId="32BD0F67" w:rsidR="00502B68" w:rsidRPr="00621CF2" w:rsidRDefault="00502B68" w:rsidP="00502B68">
      <w:pPr>
        <w:pStyle w:val="Title"/>
        <w:spacing w:line="276" w:lineRule="auto"/>
        <w:jc w:val="both"/>
        <w:rPr>
          <w:rFonts w:eastAsia="Calibri"/>
          <w:b w:val="0"/>
          <w:sz w:val="22"/>
          <w:szCs w:val="22"/>
        </w:rPr>
      </w:pPr>
      <w:r w:rsidRPr="00621CF2">
        <w:rPr>
          <w:rFonts w:eastAsia="Calibri"/>
          <w:b w:val="0"/>
          <w:sz w:val="22"/>
          <w:szCs w:val="22"/>
        </w:rPr>
        <w:t xml:space="preserve">Ky plan përbën një reflektim të drejtpërdrejtë të këtij bashkëpunimi, të mbështetur në dëshmitë dhe në nevojat e identifikuara, </w:t>
      </w:r>
      <w:proofErr w:type="spellStart"/>
      <w:r w:rsidRPr="00621CF2">
        <w:rPr>
          <w:rFonts w:eastAsia="Calibri"/>
          <w:b w:val="0"/>
          <w:sz w:val="22"/>
          <w:szCs w:val="22"/>
        </w:rPr>
        <w:t>artikuluara</w:t>
      </w:r>
      <w:proofErr w:type="spellEnd"/>
      <w:r w:rsidRPr="00621CF2">
        <w:rPr>
          <w:rFonts w:eastAsia="Calibri"/>
          <w:b w:val="0"/>
          <w:sz w:val="22"/>
          <w:szCs w:val="22"/>
        </w:rPr>
        <w:t xml:space="preserve"> nga vet palët e interesit. Ky plani shërben si një udhërrëfyes për avancimin e një qeverisjeje më me gjithë përfshirje, të përgjegjshme dhe më të besueshme. Plan i veprimit përdorë transformimin digjital për ta bërë qeverisjen më efikase dhe më të lehtë e të qasmë për qytetaret, përmes standardizimit të proceseve synohet garantim i barazisë dhe </w:t>
      </w:r>
      <w:proofErr w:type="spellStart"/>
      <w:r w:rsidRPr="00621CF2">
        <w:rPr>
          <w:rFonts w:eastAsia="Calibri"/>
          <w:b w:val="0"/>
          <w:sz w:val="22"/>
          <w:szCs w:val="22"/>
        </w:rPr>
        <w:t>parashikueshmërisë</w:t>
      </w:r>
      <w:proofErr w:type="spellEnd"/>
      <w:r w:rsidRPr="00621CF2">
        <w:rPr>
          <w:rFonts w:eastAsia="Calibri"/>
          <w:b w:val="0"/>
          <w:sz w:val="22"/>
          <w:szCs w:val="22"/>
        </w:rPr>
        <w:t>; ndërsa përmes forcimit të mekanizmave të llogaridhënies synohet fuqizimi i rolit të qytetarëve në mbikëqyrjen e institucioneve publike për ta mbajnë qeverinë me përgjegjëse. Ky është një plan i Kosovës dhe për Kosovën, i cili do të zbatohet në frymën e partneritetit në të cilën është bashkë-krijuar që nga hartimi i tije si tillë.</w:t>
      </w:r>
    </w:p>
    <w:p w14:paraId="10DFD638" w14:textId="77777777" w:rsidR="00502B68" w:rsidRPr="00621CF2" w:rsidRDefault="00502B68" w:rsidP="00502B68">
      <w:pPr>
        <w:pStyle w:val="Title"/>
        <w:spacing w:line="276" w:lineRule="auto"/>
        <w:jc w:val="both"/>
        <w:rPr>
          <w:rFonts w:eastAsia="Calibri"/>
          <w:b w:val="0"/>
          <w:sz w:val="22"/>
          <w:szCs w:val="22"/>
        </w:rPr>
      </w:pPr>
    </w:p>
    <w:p w14:paraId="32CD8B78" w14:textId="38F62D8B" w:rsidR="0047230E" w:rsidRPr="00621CF2" w:rsidRDefault="00502B68" w:rsidP="00502B68">
      <w:pPr>
        <w:pStyle w:val="Title"/>
        <w:spacing w:line="276" w:lineRule="auto"/>
        <w:jc w:val="both"/>
        <w:rPr>
          <w:rFonts w:eastAsia="Calibri"/>
          <w:b w:val="0"/>
          <w:sz w:val="22"/>
          <w:szCs w:val="22"/>
        </w:rPr>
      </w:pPr>
      <w:r w:rsidRPr="00621CF2">
        <w:rPr>
          <w:rFonts w:eastAsia="Calibri"/>
          <w:b w:val="0"/>
          <w:sz w:val="22"/>
          <w:szCs w:val="22"/>
        </w:rPr>
        <w:t>Procesi i hartimit dhe bashkë-krijimit të Planit të Veprimit është mbështetur nga Qendra e Ekspertizës</w:t>
      </w:r>
      <w:r w:rsidR="00B431B8">
        <w:rPr>
          <w:rFonts w:eastAsia="Calibri"/>
          <w:b w:val="0"/>
          <w:sz w:val="22"/>
          <w:szCs w:val="22"/>
        </w:rPr>
        <w:t xml:space="preserve"> </w:t>
      </w:r>
      <w:r w:rsidRPr="00621CF2">
        <w:rPr>
          <w:rFonts w:eastAsia="Calibri"/>
          <w:b w:val="0"/>
          <w:sz w:val="22"/>
          <w:szCs w:val="22"/>
        </w:rPr>
        <w:t xml:space="preserve">për Qeverisje </w:t>
      </w:r>
      <w:proofErr w:type="spellStart"/>
      <w:r w:rsidRPr="00621CF2">
        <w:rPr>
          <w:rFonts w:eastAsia="Calibri"/>
          <w:b w:val="0"/>
          <w:sz w:val="22"/>
          <w:szCs w:val="22"/>
        </w:rPr>
        <w:t>Shumënivelëshe</w:t>
      </w:r>
      <w:proofErr w:type="spellEnd"/>
      <w:r w:rsidRPr="00621CF2">
        <w:rPr>
          <w:rFonts w:eastAsia="Calibri"/>
          <w:b w:val="0"/>
          <w:sz w:val="22"/>
          <w:szCs w:val="22"/>
        </w:rPr>
        <w:t xml:space="preserve"> pranë Kongresit të Autoriteteve Lokale dhe Rajonale të Këshillit të</w:t>
      </w:r>
      <w:r w:rsidR="00B431B8">
        <w:rPr>
          <w:rFonts w:eastAsia="Calibri"/>
          <w:b w:val="0"/>
          <w:sz w:val="22"/>
          <w:szCs w:val="22"/>
        </w:rPr>
        <w:t xml:space="preserve"> </w:t>
      </w:r>
      <w:r w:rsidRPr="00621CF2">
        <w:rPr>
          <w:rFonts w:eastAsia="Calibri"/>
          <w:b w:val="0"/>
          <w:sz w:val="22"/>
          <w:szCs w:val="22"/>
        </w:rPr>
        <w:t>Evropës.</w:t>
      </w:r>
    </w:p>
    <w:p w14:paraId="51B44875" w14:textId="77777777" w:rsidR="00502B68" w:rsidRPr="00621CF2" w:rsidRDefault="00502B68" w:rsidP="00502B68">
      <w:pPr>
        <w:rPr>
          <w:rFonts w:ascii="Times New Roman" w:hAnsi="Times New Roman" w:cs="Times New Roman"/>
        </w:rPr>
      </w:pPr>
    </w:p>
    <w:p w14:paraId="30FF05B9" w14:textId="748AA011" w:rsidR="00502B68" w:rsidRPr="00621CF2" w:rsidRDefault="00502B68">
      <w:pPr>
        <w:pStyle w:val="Title"/>
        <w:spacing w:line="276" w:lineRule="auto"/>
        <w:jc w:val="both"/>
        <w:rPr>
          <w:rFonts w:eastAsia="Calibri"/>
          <w:b w:val="0"/>
          <w:sz w:val="22"/>
          <w:szCs w:val="22"/>
        </w:rPr>
      </w:pPr>
      <w:r w:rsidRPr="00621CF2">
        <w:rPr>
          <w:rFonts w:eastAsia="Calibri"/>
          <w:b w:val="0"/>
          <w:sz w:val="22"/>
          <w:szCs w:val="22"/>
        </w:rPr>
        <w:t>Plani i Veprimit 2026–2028 paraqet një prioritet të veçantë në kuadër të Planit të Punës së Ministrisë së Administrimit të Pushtetit Lokal për vitin 2026, është i integruar në Programin Legjislativ për vitin 2026 dhe është në përputhje të plotë me objektivat strategjike të përcaktuara në Strategjinë për Vetëqeverisje Lokale 2016–2026.</w:t>
      </w:r>
    </w:p>
    <w:p w14:paraId="607FDD0A" w14:textId="7AD0A2B5" w:rsidR="0047230E" w:rsidRDefault="00791CC1">
      <w:pPr>
        <w:pStyle w:val="Title"/>
        <w:spacing w:line="276" w:lineRule="auto"/>
        <w:jc w:val="both"/>
        <w:rPr>
          <w:rFonts w:eastAsia="Calibri"/>
          <w:b w:val="0"/>
          <w:sz w:val="22"/>
          <w:szCs w:val="22"/>
        </w:rPr>
      </w:pPr>
      <w:r w:rsidRPr="00621CF2">
        <w:rPr>
          <w:rFonts w:eastAsia="Calibri"/>
          <w:b w:val="0"/>
          <w:sz w:val="22"/>
          <w:szCs w:val="22"/>
        </w:rPr>
        <w:t xml:space="preserve"> </w:t>
      </w:r>
    </w:p>
    <w:p w14:paraId="685A39F1" w14:textId="77777777" w:rsidR="00F25F79" w:rsidRDefault="00F25F79" w:rsidP="00F25F79"/>
    <w:p w14:paraId="573E010A" w14:textId="77777777" w:rsidR="00B431B8" w:rsidRDefault="00B431B8" w:rsidP="00F25F79"/>
    <w:p w14:paraId="00BACAC8" w14:textId="77777777" w:rsidR="00B431B8" w:rsidRDefault="00B431B8" w:rsidP="00F25F79"/>
    <w:p w14:paraId="686DC484" w14:textId="77777777" w:rsidR="00F25F79" w:rsidRPr="00F25F79" w:rsidRDefault="00F25F79" w:rsidP="00F25F79"/>
    <w:p w14:paraId="68F54B1A" w14:textId="77777777" w:rsidR="00697830" w:rsidRPr="00621CF2" w:rsidRDefault="00697830" w:rsidP="00697830">
      <w:pPr>
        <w:rPr>
          <w:rFonts w:ascii="Times New Roman" w:hAnsi="Times New Roman" w:cs="Times New Roman"/>
        </w:rPr>
      </w:pPr>
    </w:p>
    <w:p w14:paraId="244FA94B" w14:textId="77777777" w:rsidR="0047230E" w:rsidRPr="00621CF2" w:rsidRDefault="00791CC1">
      <w:pPr>
        <w:spacing w:line="276" w:lineRule="auto"/>
        <w:jc w:val="center"/>
        <w:rPr>
          <w:rFonts w:ascii="Times New Roman" w:eastAsia="Calibri" w:hAnsi="Times New Roman" w:cs="Times New Roman"/>
          <w:b/>
          <w:sz w:val="22"/>
          <w:szCs w:val="22"/>
        </w:rPr>
      </w:pPr>
      <w:r w:rsidRPr="00621CF2">
        <w:rPr>
          <w:rFonts w:ascii="Times New Roman" w:eastAsia="Calibri" w:hAnsi="Times New Roman" w:cs="Times New Roman"/>
          <w:b/>
          <w:sz w:val="22"/>
          <w:szCs w:val="22"/>
        </w:rPr>
        <w:t>Ecuria e procesit të konsultimit</w:t>
      </w:r>
    </w:p>
    <w:p w14:paraId="1F1E61DD" w14:textId="77777777" w:rsidR="0047230E" w:rsidRPr="00621CF2" w:rsidRDefault="0047230E">
      <w:pPr>
        <w:tabs>
          <w:tab w:val="left" w:pos="252"/>
        </w:tabs>
        <w:spacing w:line="276" w:lineRule="auto"/>
        <w:jc w:val="both"/>
        <w:rPr>
          <w:rFonts w:ascii="Times New Roman" w:eastAsia="Calibri" w:hAnsi="Times New Roman" w:cs="Times New Roman"/>
          <w:sz w:val="22"/>
          <w:szCs w:val="22"/>
        </w:rPr>
      </w:pPr>
    </w:p>
    <w:p w14:paraId="4990BDA0" w14:textId="77777777" w:rsidR="00697830" w:rsidRPr="003E20C5" w:rsidRDefault="00697830" w:rsidP="003E20C5">
      <w:pPr>
        <w:pStyle w:val="NormalWeb"/>
        <w:jc w:val="both"/>
        <w:rPr>
          <w:sz w:val="22"/>
          <w:szCs w:val="22"/>
        </w:rPr>
      </w:pPr>
      <w:r w:rsidRPr="003E20C5">
        <w:rPr>
          <w:sz w:val="22"/>
          <w:szCs w:val="22"/>
        </w:rPr>
        <w:t>Plani i Veprimit 2026–2028 është hartuar përmes një procesi të gjerë dhe gjithëpërfshirës konsultimi me palët relevante të interesit. Pjesëmarrja e institucioneve në nivel qendror dhe lokal është siguruar përmes përfshirjes aktive të tyre në grupin punues për hartimin e draftit të Planit të Veprimit, me qëllim rritjen e transparencës dhe përfshirjes së qytetarëve.</w:t>
      </w:r>
    </w:p>
    <w:p w14:paraId="50C779F7" w14:textId="77777777" w:rsidR="00697830" w:rsidRPr="003E20C5" w:rsidRDefault="00697830" w:rsidP="003E20C5">
      <w:pPr>
        <w:pStyle w:val="NormalWeb"/>
        <w:jc w:val="both"/>
        <w:rPr>
          <w:sz w:val="22"/>
          <w:szCs w:val="22"/>
        </w:rPr>
      </w:pPr>
      <w:r w:rsidRPr="003E20C5">
        <w:rPr>
          <w:sz w:val="22"/>
          <w:szCs w:val="22"/>
        </w:rPr>
        <w:t>Drafti i Planit të Veprimit 2026–2028 u është dërguar të gjitha institucioneve qendrore dhe lokale, si dhe institucioneve ndërkombëtare me interes në fushën e qeverisjes lokale. Në kuadër të këtij procesi janë zhvilluar takime dhe punëtori me palët relevante të interesit, përfshirë anëtarët e grupit punues, përfaqësues të komunave, si dhe organizata të shoqërisë civile. Gjithashtu, janë mbajtur disa takime konsultative me organizata joqeveritare dhe aktorë të tjerë relevantë, me qëllim sigurimin e një procesi gjithëpërfshirës dhe transparent. Procesi ka vazhduar me takime të rregullta të grupit punues, gjatë të cilave janë shqyrtuar në mënyrë sistematike të gjitha komentet e pranuara nga institucionet dhe palët e interesit.</w:t>
      </w:r>
    </w:p>
    <w:p w14:paraId="5FE364E3" w14:textId="77777777" w:rsidR="00965A2A" w:rsidRPr="003E20C5" w:rsidRDefault="00965A2A" w:rsidP="003E20C5">
      <w:pPr>
        <w:spacing w:before="100" w:beforeAutospacing="1" w:after="100" w:afterAutospacing="1"/>
        <w:jc w:val="both"/>
        <w:rPr>
          <w:rFonts w:ascii="Times New Roman" w:eastAsia="Times New Roman" w:hAnsi="Times New Roman" w:cs="Times New Roman"/>
          <w:sz w:val="22"/>
          <w:szCs w:val="22"/>
        </w:rPr>
      </w:pPr>
      <w:r w:rsidRPr="003E20C5">
        <w:rPr>
          <w:rFonts w:ascii="Times New Roman" w:eastAsia="Times New Roman" w:hAnsi="Times New Roman" w:cs="Times New Roman"/>
          <w:sz w:val="22"/>
          <w:szCs w:val="22"/>
        </w:rPr>
        <w:t xml:space="preserve">Plani u hartua përmes një procesi bashkë-krijimi të bazuar në dëshmi dhe mësime nga plani 2023–2025 ku me poshtë po shënojmë hapat me te cilat kaloj ky plan. </w:t>
      </w:r>
    </w:p>
    <w:p w14:paraId="31A23E38" w14:textId="77777777" w:rsidR="00965A2A" w:rsidRPr="003E20C5" w:rsidRDefault="00965A2A" w:rsidP="00B431B8">
      <w:pPr>
        <w:spacing w:before="100" w:beforeAutospacing="1" w:after="100" w:afterAutospacing="1"/>
        <w:jc w:val="both"/>
        <w:rPr>
          <w:rFonts w:ascii="Times New Roman" w:eastAsia="Times New Roman" w:hAnsi="Times New Roman" w:cs="Times New Roman"/>
          <w:sz w:val="22"/>
          <w:szCs w:val="22"/>
        </w:rPr>
      </w:pPr>
      <w:r w:rsidRPr="003E20C5">
        <w:rPr>
          <w:rFonts w:ascii="Times New Roman" w:eastAsia="Times New Roman" w:hAnsi="Times New Roman" w:cs="Times New Roman"/>
          <w:sz w:val="22"/>
          <w:szCs w:val="22"/>
        </w:rPr>
        <w:t xml:space="preserve">Procesi nisi në tetor 2025 me analizë të arritjeve dhe sfidave. </w:t>
      </w:r>
    </w:p>
    <w:p w14:paraId="3839C2E9" w14:textId="77777777" w:rsidR="00965A2A" w:rsidRPr="003E20C5" w:rsidRDefault="00965A2A" w:rsidP="003E20C5">
      <w:pPr>
        <w:numPr>
          <w:ilvl w:val="0"/>
          <w:numId w:val="7"/>
        </w:numPr>
        <w:spacing w:before="100" w:beforeAutospacing="1" w:after="100" w:afterAutospacing="1"/>
        <w:jc w:val="both"/>
        <w:rPr>
          <w:rFonts w:ascii="Times New Roman" w:eastAsia="Times New Roman" w:hAnsi="Times New Roman" w:cs="Times New Roman"/>
          <w:sz w:val="22"/>
          <w:szCs w:val="22"/>
        </w:rPr>
      </w:pPr>
      <w:r w:rsidRPr="003E20C5">
        <w:rPr>
          <w:rFonts w:ascii="Times New Roman" w:eastAsia="Times New Roman" w:hAnsi="Times New Roman" w:cs="Times New Roman"/>
          <w:sz w:val="22"/>
          <w:szCs w:val="22"/>
        </w:rPr>
        <w:t xml:space="preserve">Më 29 tetor 2025 u mbajt takimi i parë i Grupit të Punës për identifikimin e sfidave dhe kërkesave të procesit. </w:t>
      </w:r>
    </w:p>
    <w:p w14:paraId="1AF732F2" w14:textId="77777777" w:rsidR="00965A2A" w:rsidRPr="003E20C5" w:rsidRDefault="00965A2A" w:rsidP="003E20C5">
      <w:pPr>
        <w:numPr>
          <w:ilvl w:val="0"/>
          <w:numId w:val="7"/>
        </w:numPr>
        <w:spacing w:before="100" w:beforeAutospacing="1" w:after="100" w:afterAutospacing="1"/>
        <w:jc w:val="both"/>
        <w:rPr>
          <w:rFonts w:ascii="Times New Roman" w:eastAsia="Times New Roman" w:hAnsi="Times New Roman" w:cs="Times New Roman"/>
          <w:sz w:val="22"/>
          <w:szCs w:val="22"/>
        </w:rPr>
      </w:pPr>
      <w:r w:rsidRPr="003E20C5">
        <w:rPr>
          <w:rFonts w:ascii="Times New Roman" w:eastAsia="Times New Roman" w:hAnsi="Times New Roman" w:cs="Times New Roman"/>
          <w:sz w:val="22"/>
          <w:szCs w:val="22"/>
        </w:rPr>
        <w:t xml:space="preserve">Më 13 nëntor 2025 u organizua </w:t>
      </w:r>
      <w:proofErr w:type="spellStart"/>
      <w:r w:rsidRPr="003E20C5">
        <w:rPr>
          <w:rFonts w:ascii="Times New Roman" w:eastAsia="Times New Roman" w:hAnsi="Times New Roman" w:cs="Times New Roman"/>
          <w:sz w:val="22"/>
          <w:szCs w:val="22"/>
        </w:rPr>
        <w:t>webinar</w:t>
      </w:r>
      <w:proofErr w:type="spellEnd"/>
      <w:r w:rsidRPr="003E20C5">
        <w:rPr>
          <w:rFonts w:ascii="Times New Roman" w:eastAsia="Times New Roman" w:hAnsi="Times New Roman" w:cs="Times New Roman"/>
          <w:sz w:val="22"/>
          <w:szCs w:val="22"/>
        </w:rPr>
        <w:t xml:space="preserve"> për sektorin publik + pyetësor për mbledhje rekomandimesh. </w:t>
      </w:r>
    </w:p>
    <w:p w14:paraId="186A40A3" w14:textId="77777777" w:rsidR="00965A2A" w:rsidRPr="003E20C5" w:rsidRDefault="00965A2A" w:rsidP="003E20C5">
      <w:pPr>
        <w:numPr>
          <w:ilvl w:val="0"/>
          <w:numId w:val="7"/>
        </w:numPr>
        <w:spacing w:before="100" w:beforeAutospacing="1" w:after="100" w:afterAutospacing="1"/>
        <w:jc w:val="both"/>
        <w:rPr>
          <w:rFonts w:ascii="Times New Roman" w:eastAsia="Times New Roman" w:hAnsi="Times New Roman" w:cs="Times New Roman"/>
          <w:sz w:val="22"/>
          <w:szCs w:val="22"/>
        </w:rPr>
      </w:pPr>
      <w:r w:rsidRPr="003E20C5">
        <w:rPr>
          <w:rFonts w:ascii="Times New Roman" w:eastAsia="Times New Roman" w:hAnsi="Times New Roman" w:cs="Times New Roman"/>
          <w:sz w:val="22"/>
          <w:szCs w:val="22"/>
        </w:rPr>
        <w:t xml:space="preserve">Më 21 nëntor 2025 u mbajt seminar me shoqërinë civile + pyetësor për ide dhe propozime. </w:t>
      </w:r>
    </w:p>
    <w:p w14:paraId="3F3E7512" w14:textId="77777777" w:rsidR="00965A2A" w:rsidRPr="003E20C5" w:rsidRDefault="00965A2A" w:rsidP="003E20C5">
      <w:pPr>
        <w:numPr>
          <w:ilvl w:val="0"/>
          <w:numId w:val="7"/>
        </w:numPr>
        <w:spacing w:before="100" w:beforeAutospacing="1" w:after="100" w:afterAutospacing="1"/>
        <w:jc w:val="both"/>
        <w:rPr>
          <w:rFonts w:ascii="Times New Roman" w:eastAsia="Times New Roman" w:hAnsi="Times New Roman" w:cs="Times New Roman"/>
          <w:sz w:val="22"/>
          <w:szCs w:val="22"/>
        </w:rPr>
      </w:pPr>
      <w:r w:rsidRPr="003E20C5">
        <w:rPr>
          <w:rFonts w:ascii="Times New Roman" w:eastAsia="Times New Roman" w:hAnsi="Times New Roman" w:cs="Times New Roman"/>
          <w:sz w:val="22"/>
          <w:szCs w:val="22"/>
        </w:rPr>
        <w:t xml:space="preserve">Më 16 dhjetor 2025 u mbajt takim i Forumit Kombëtar për sqarimin e roleve dhe përgatitjen e procesit të bashkë-krijimit. </w:t>
      </w:r>
    </w:p>
    <w:p w14:paraId="5A1E14CB" w14:textId="77777777" w:rsidR="00965A2A" w:rsidRPr="003E20C5" w:rsidRDefault="00965A2A" w:rsidP="003E20C5">
      <w:pPr>
        <w:numPr>
          <w:ilvl w:val="0"/>
          <w:numId w:val="7"/>
        </w:numPr>
        <w:spacing w:before="100" w:beforeAutospacing="1" w:after="100" w:afterAutospacing="1"/>
        <w:jc w:val="both"/>
        <w:rPr>
          <w:rFonts w:ascii="Times New Roman" w:eastAsia="Times New Roman" w:hAnsi="Times New Roman" w:cs="Times New Roman"/>
          <w:sz w:val="22"/>
          <w:szCs w:val="22"/>
        </w:rPr>
      </w:pPr>
      <w:r w:rsidRPr="003E20C5">
        <w:rPr>
          <w:rFonts w:ascii="Times New Roman" w:eastAsia="Times New Roman" w:hAnsi="Times New Roman" w:cs="Times New Roman"/>
          <w:sz w:val="22"/>
          <w:szCs w:val="22"/>
        </w:rPr>
        <w:t xml:space="preserve">U hartuan dhe shpërndanë dy grupe pyetësorësh për mbledhjen e </w:t>
      </w:r>
      <w:proofErr w:type="spellStart"/>
      <w:r w:rsidRPr="003E20C5">
        <w:rPr>
          <w:rFonts w:ascii="Times New Roman" w:eastAsia="Times New Roman" w:hAnsi="Times New Roman" w:cs="Times New Roman"/>
          <w:sz w:val="22"/>
          <w:szCs w:val="22"/>
        </w:rPr>
        <w:t>inputeve</w:t>
      </w:r>
      <w:proofErr w:type="spellEnd"/>
      <w:r w:rsidRPr="003E20C5">
        <w:rPr>
          <w:rFonts w:ascii="Times New Roman" w:eastAsia="Times New Roman" w:hAnsi="Times New Roman" w:cs="Times New Roman"/>
          <w:sz w:val="22"/>
          <w:szCs w:val="22"/>
        </w:rPr>
        <w:t xml:space="preserve"> nga palët e interesit. </w:t>
      </w:r>
    </w:p>
    <w:p w14:paraId="4F10A71B" w14:textId="77777777" w:rsidR="00965A2A" w:rsidRPr="00B431B8" w:rsidRDefault="00965A2A" w:rsidP="00965A2A">
      <w:pPr>
        <w:spacing w:before="100" w:beforeAutospacing="1" w:after="100" w:afterAutospacing="1"/>
        <w:rPr>
          <w:rFonts w:ascii="Times New Roman" w:eastAsia="Times New Roman" w:hAnsi="Times New Roman" w:cs="Times New Roman"/>
          <w:sz w:val="22"/>
          <w:szCs w:val="22"/>
        </w:rPr>
      </w:pPr>
      <w:r w:rsidRPr="00B431B8">
        <w:rPr>
          <w:rFonts w:ascii="Times New Roman" w:eastAsia="Times New Roman" w:hAnsi="Times New Roman" w:cs="Times New Roman"/>
          <w:b/>
          <w:bCs/>
          <w:sz w:val="22"/>
          <w:szCs w:val="22"/>
        </w:rPr>
        <w:t>Qëllimi i pyetësorëve:</w:t>
      </w:r>
    </w:p>
    <w:p w14:paraId="4CE79E36" w14:textId="77777777" w:rsidR="00965A2A" w:rsidRPr="00621CF2" w:rsidRDefault="00965A2A" w:rsidP="00965A2A">
      <w:pPr>
        <w:pStyle w:val="ListParagraph"/>
        <w:numPr>
          <w:ilvl w:val="0"/>
          <w:numId w:val="10"/>
        </w:numPr>
        <w:rPr>
          <w:rFonts w:ascii="Times New Roman" w:eastAsia="Times New Roman" w:hAnsi="Times New Roman" w:cs="Times New Roman"/>
        </w:rPr>
      </w:pPr>
      <w:r w:rsidRPr="00621CF2">
        <w:rPr>
          <w:rFonts w:ascii="Times New Roman" w:eastAsia="Times New Roman" w:hAnsi="Times New Roman" w:cs="Times New Roman"/>
        </w:rPr>
        <w:t xml:space="preserve">Të mbledhin komente mbi planin e kaluar </w:t>
      </w:r>
    </w:p>
    <w:p w14:paraId="6CAD4A91" w14:textId="77777777" w:rsidR="00965A2A" w:rsidRPr="00621CF2" w:rsidRDefault="00965A2A" w:rsidP="00965A2A">
      <w:pPr>
        <w:pStyle w:val="ListParagraph"/>
        <w:numPr>
          <w:ilvl w:val="0"/>
          <w:numId w:val="10"/>
        </w:numPr>
        <w:rPr>
          <w:rFonts w:ascii="Times New Roman" w:eastAsia="Times New Roman" w:hAnsi="Times New Roman" w:cs="Times New Roman"/>
        </w:rPr>
      </w:pPr>
      <w:r w:rsidRPr="00621CF2">
        <w:rPr>
          <w:rFonts w:ascii="Times New Roman" w:eastAsia="Times New Roman" w:hAnsi="Times New Roman" w:cs="Times New Roman"/>
        </w:rPr>
        <w:t xml:space="preserve">Të identifikojnë prioritetet për reforma </w:t>
      </w:r>
    </w:p>
    <w:p w14:paraId="4F128B6B" w14:textId="77777777" w:rsidR="00965A2A" w:rsidRPr="00621CF2" w:rsidRDefault="00965A2A" w:rsidP="00965A2A">
      <w:pPr>
        <w:pStyle w:val="ListParagraph"/>
        <w:numPr>
          <w:ilvl w:val="0"/>
          <w:numId w:val="10"/>
        </w:numPr>
        <w:rPr>
          <w:rFonts w:ascii="Times New Roman" w:eastAsia="Times New Roman" w:hAnsi="Times New Roman" w:cs="Times New Roman"/>
        </w:rPr>
      </w:pPr>
      <w:r w:rsidRPr="00621CF2">
        <w:rPr>
          <w:rFonts w:ascii="Times New Roman" w:eastAsia="Times New Roman" w:hAnsi="Times New Roman" w:cs="Times New Roman"/>
        </w:rPr>
        <w:t xml:space="preserve">Të grumbullojnë ide për zotime të reja </w:t>
      </w:r>
    </w:p>
    <w:p w14:paraId="157B73B2" w14:textId="77777777" w:rsidR="00965A2A" w:rsidRPr="00621CF2" w:rsidRDefault="00965A2A" w:rsidP="00965A2A">
      <w:pPr>
        <w:pStyle w:val="ListParagraph"/>
        <w:numPr>
          <w:ilvl w:val="0"/>
          <w:numId w:val="10"/>
        </w:numPr>
        <w:rPr>
          <w:rFonts w:ascii="Times New Roman" w:eastAsia="Times New Roman" w:hAnsi="Times New Roman" w:cs="Times New Roman"/>
        </w:rPr>
      </w:pPr>
      <w:r w:rsidRPr="00621CF2">
        <w:rPr>
          <w:rFonts w:ascii="Times New Roman" w:eastAsia="Times New Roman" w:hAnsi="Times New Roman" w:cs="Times New Roman"/>
        </w:rPr>
        <w:t xml:space="preserve">Të sigurojnë përfshirje të gjerë dhe të strukturuar </w:t>
      </w:r>
    </w:p>
    <w:p w14:paraId="3C1235C0" w14:textId="77777777" w:rsidR="00965A2A" w:rsidRPr="00B431B8" w:rsidRDefault="00965A2A" w:rsidP="00965A2A">
      <w:pPr>
        <w:spacing w:before="100" w:beforeAutospacing="1" w:after="100" w:afterAutospacing="1"/>
        <w:rPr>
          <w:rFonts w:ascii="Times New Roman" w:eastAsia="Times New Roman" w:hAnsi="Times New Roman" w:cs="Times New Roman"/>
          <w:sz w:val="22"/>
          <w:szCs w:val="22"/>
        </w:rPr>
      </w:pPr>
      <w:r w:rsidRPr="00B431B8">
        <w:rPr>
          <w:rFonts w:ascii="Times New Roman" w:eastAsia="Times New Roman" w:hAnsi="Times New Roman" w:cs="Times New Roman"/>
          <w:b/>
          <w:bCs/>
          <w:sz w:val="22"/>
          <w:szCs w:val="22"/>
        </w:rPr>
        <w:t>Pyetësorët për sektorin publik:</w:t>
      </w:r>
    </w:p>
    <w:p w14:paraId="21A4E889" w14:textId="77777777" w:rsidR="00965A2A" w:rsidRPr="00621CF2" w:rsidRDefault="00965A2A" w:rsidP="00965A2A">
      <w:pPr>
        <w:numPr>
          <w:ilvl w:val="0"/>
          <w:numId w:val="8"/>
        </w:numPr>
        <w:spacing w:before="100" w:beforeAutospacing="1" w:after="100" w:afterAutospacing="1"/>
        <w:rPr>
          <w:rFonts w:ascii="Times New Roman" w:eastAsia="Times New Roman" w:hAnsi="Times New Roman" w:cs="Times New Roman"/>
        </w:rPr>
      </w:pPr>
      <w:r w:rsidRPr="00621CF2">
        <w:rPr>
          <w:rFonts w:ascii="Times New Roman" w:eastAsia="Times New Roman" w:hAnsi="Times New Roman" w:cs="Times New Roman"/>
        </w:rPr>
        <w:t xml:space="preserve">Anglisht: </w:t>
      </w:r>
      <w:hyperlink r:id="rId9" w:tgtFrame="_new" w:history="1">
        <w:r w:rsidRPr="00621CF2">
          <w:rPr>
            <w:rFonts w:ascii="Times New Roman" w:eastAsia="Times New Roman" w:hAnsi="Times New Roman" w:cs="Times New Roman"/>
            <w:u w:val="single"/>
          </w:rPr>
          <w:t>https://forms.gle/M1hyGB6J8muPSS287</w:t>
        </w:r>
      </w:hyperlink>
      <w:r w:rsidRPr="00621CF2">
        <w:rPr>
          <w:rFonts w:ascii="Times New Roman" w:eastAsia="Times New Roman" w:hAnsi="Times New Roman" w:cs="Times New Roman"/>
        </w:rPr>
        <w:t xml:space="preserve"> </w:t>
      </w:r>
    </w:p>
    <w:p w14:paraId="4E7984D1" w14:textId="77777777" w:rsidR="00965A2A" w:rsidRPr="00621CF2" w:rsidRDefault="00965A2A" w:rsidP="00965A2A">
      <w:pPr>
        <w:numPr>
          <w:ilvl w:val="0"/>
          <w:numId w:val="8"/>
        </w:numPr>
        <w:spacing w:before="100" w:beforeAutospacing="1" w:after="100" w:afterAutospacing="1"/>
        <w:rPr>
          <w:rFonts w:ascii="Times New Roman" w:eastAsia="Times New Roman" w:hAnsi="Times New Roman" w:cs="Times New Roman"/>
        </w:rPr>
      </w:pPr>
      <w:r w:rsidRPr="00621CF2">
        <w:rPr>
          <w:rFonts w:ascii="Times New Roman" w:eastAsia="Times New Roman" w:hAnsi="Times New Roman" w:cs="Times New Roman"/>
        </w:rPr>
        <w:t xml:space="preserve">Shqip: </w:t>
      </w:r>
      <w:hyperlink r:id="rId10" w:tgtFrame="_new" w:history="1">
        <w:r w:rsidRPr="00621CF2">
          <w:rPr>
            <w:rFonts w:ascii="Times New Roman" w:eastAsia="Times New Roman" w:hAnsi="Times New Roman" w:cs="Times New Roman"/>
            <w:u w:val="single"/>
          </w:rPr>
          <w:t>https://forms.gle/kp48dYt3xvh8pFty5</w:t>
        </w:r>
      </w:hyperlink>
      <w:r w:rsidRPr="00621CF2">
        <w:rPr>
          <w:rFonts w:ascii="Times New Roman" w:eastAsia="Times New Roman" w:hAnsi="Times New Roman" w:cs="Times New Roman"/>
        </w:rPr>
        <w:t xml:space="preserve"> </w:t>
      </w:r>
    </w:p>
    <w:p w14:paraId="26E936D8" w14:textId="77777777" w:rsidR="00965A2A" w:rsidRPr="00621CF2" w:rsidRDefault="00965A2A" w:rsidP="00965A2A">
      <w:pPr>
        <w:numPr>
          <w:ilvl w:val="0"/>
          <w:numId w:val="8"/>
        </w:numPr>
        <w:spacing w:before="100" w:beforeAutospacing="1" w:after="100" w:afterAutospacing="1"/>
        <w:rPr>
          <w:rFonts w:ascii="Times New Roman" w:eastAsia="Times New Roman" w:hAnsi="Times New Roman" w:cs="Times New Roman"/>
        </w:rPr>
      </w:pPr>
      <w:r w:rsidRPr="00621CF2">
        <w:rPr>
          <w:rFonts w:ascii="Times New Roman" w:eastAsia="Times New Roman" w:hAnsi="Times New Roman" w:cs="Times New Roman"/>
        </w:rPr>
        <w:t xml:space="preserve">Serbisht: </w:t>
      </w:r>
      <w:hyperlink r:id="rId11" w:tgtFrame="_new" w:history="1">
        <w:r w:rsidRPr="00621CF2">
          <w:rPr>
            <w:rFonts w:ascii="Times New Roman" w:eastAsia="Times New Roman" w:hAnsi="Times New Roman" w:cs="Times New Roman"/>
            <w:u w:val="single"/>
          </w:rPr>
          <w:t>https://forms.gle/ShSeAopEWJa7R81s5</w:t>
        </w:r>
      </w:hyperlink>
      <w:r w:rsidRPr="00621CF2">
        <w:rPr>
          <w:rFonts w:ascii="Times New Roman" w:eastAsia="Times New Roman" w:hAnsi="Times New Roman" w:cs="Times New Roman"/>
        </w:rPr>
        <w:t xml:space="preserve"> </w:t>
      </w:r>
    </w:p>
    <w:p w14:paraId="2429DFF4" w14:textId="77777777" w:rsidR="00EA7738" w:rsidRDefault="00EA7738" w:rsidP="00965A2A">
      <w:pPr>
        <w:spacing w:before="100" w:beforeAutospacing="1" w:after="100" w:afterAutospacing="1"/>
        <w:rPr>
          <w:rFonts w:ascii="Times New Roman" w:eastAsia="Times New Roman" w:hAnsi="Times New Roman" w:cs="Times New Roman"/>
          <w:b/>
          <w:bCs/>
          <w:sz w:val="22"/>
          <w:szCs w:val="22"/>
        </w:rPr>
      </w:pPr>
    </w:p>
    <w:p w14:paraId="5BE9CC0B" w14:textId="6793978D" w:rsidR="00965A2A" w:rsidRPr="00B431B8" w:rsidRDefault="00965A2A" w:rsidP="00965A2A">
      <w:pPr>
        <w:spacing w:before="100" w:beforeAutospacing="1" w:after="100" w:afterAutospacing="1"/>
        <w:rPr>
          <w:rFonts w:ascii="Times New Roman" w:eastAsia="Times New Roman" w:hAnsi="Times New Roman" w:cs="Times New Roman"/>
          <w:sz w:val="22"/>
          <w:szCs w:val="22"/>
        </w:rPr>
      </w:pPr>
      <w:r w:rsidRPr="00B431B8">
        <w:rPr>
          <w:rFonts w:ascii="Times New Roman" w:eastAsia="Times New Roman" w:hAnsi="Times New Roman" w:cs="Times New Roman"/>
          <w:b/>
          <w:bCs/>
          <w:sz w:val="22"/>
          <w:szCs w:val="22"/>
        </w:rPr>
        <w:lastRenderedPageBreak/>
        <w:t>Pyetësorët për shoqërinë civile:</w:t>
      </w:r>
    </w:p>
    <w:p w14:paraId="33459817" w14:textId="77777777" w:rsidR="00965A2A" w:rsidRPr="00621CF2" w:rsidRDefault="00965A2A" w:rsidP="00965A2A">
      <w:pPr>
        <w:numPr>
          <w:ilvl w:val="0"/>
          <w:numId w:val="9"/>
        </w:numPr>
        <w:spacing w:before="100" w:beforeAutospacing="1" w:after="100" w:afterAutospacing="1"/>
        <w:rPr>
          <w:rFonts w:ascii="Times New Roman" w:eastAsia="Times New Roman" w:hAnsi="Times New Roman" w:cs="Times New Roman"/>
        </w:rPr>
      </w:pPr>
      <w:r w:rsidRPr="00621CF2">
        <w:rPr>
          <w:rFonts w:ascii="Times New Roman" w:eastAsia="Times New Roman" w:hAnsi="Times New Roman" w:cs="Times New Roman"/>
        </w:rPr>
        <w:t xml:space="preserve">Anglisht: </w:t>
      </w:r>
      <w:hyperlink r:id="rId12" w:tgtFrame="_new" w:history="1">
        <w:r w:rsidRPr="00621CF2">
          <w:rPr>
            <w:rFonts w:ascii="Times New Roman" w:eastAsia="Times New Roman" w:hAnsi="Times New Roman" w:cs="Times New Roman"/>
            <w:u w:val="single"/>
          </w:rPr>
          <w:t>https://forms.gle/sH5t8Y2rn41Nvyi96</w:t>
        </w:r>
      </w:hyperlink>
      <w:r w:rsidRPr="00621CF2">
        <w:rPr>
          <w:rFonts w:ascii="Times New Roman" w:eastAsia="Times New Roman" w:hAnsi="Times New Roman" w:cs="Times New Roman"/>
        </w:rPr>
        <w:t xml:space="preserve"> </w:t>
      </w:r>
    </w:p>
    <w:p w14:paraId="0FE878E2" w14:textId="77777777" w:rsidR="00965A2A" w:rsidRPr="00621CF2" w:rsidRDefault="00965A2A" w:rsidP="00965A2A">
      <w:pPr>
        <w:numPr>
          <w:ilvl w:val="0"/>
          <w:numId w:val="9"/>
        </w:numPr>
        <w:spacing w:before="100" w:beforeAutospacing="1" w:after="100" w:afterAutospacing="1"/>
        <w:rPr>
          <w:rFonts w:ascii="Times New Roman" w:eastAsia="Times New Roman" w:hAnsi="Times New Roman" w:cs="Times New Roman"/>
        </w:rPr>
      </w:pPr>
      <w:r w:rsidRPr="00621CF2">
        <w:rPr>
          <w:rFonts w:ascii="Times New Roman" w:eastAsia="Times New Roman" w:hAnsi="Times New Roman" w:cs="Times New Roman"/>
        </w:rPr>
        <w:t xml:space="preserve">Shqip: </w:t>
      </w:r>
      <w:hyperlink r:id="rId13" w:tgtFrame="_new" w:history="1">
        <w:r w:rsidRPr="00621CF2">
          <w:rPr>
            <w:rFonts w:ascii="Times New Roman" w:eastAsia="Times New Roman" w:hAnsi="Times New Roman" w:cs="Times New Roman"/>
            <w:u w:val="single"/>
          </w:rPr>
          <w:t>https://forms.gle/tfezLYMpWv4XN7DcA</w:t>
        </w:r>
      </w:hyperlink>
      <w:r w:rsidRPr="00621CF2">
        <w:rPr>
          <w:rFonts w:ascii="Times New Roman" w:eastAsia="Times New Roman" w:hAnsi="Times New Roman" w:cs="Times New Roman"/>
        </w:rPr>
        <w:t xml:space="preserve"> </w:t>
      </w:r>
    </w:p>
    <w:p w14:paraId="6472375D" w14:textId="77777777" w:rsidR="00965A2A" w:rsidRPr="00621CF2" w:rsidRDefault="00965A2A" w:rsidP="00965A2A">
      <w:pPr>
        <w:numPr>
          <w:ilvl w:val="0"/>
          <w:numId w:val="9"/>
        </w:numPr>
        <w:spacing w:before="100" w:beforeAutospacing="1" w:after="100" w:afterAutospacing="1"/>
        <w:rPr>
          <w:rFonts w:ascii="Times New Roman" w:eastAsia="Times New Roman" w:hAnsi="Times New Roman" w:cs="Times New Roman"/>
        </w:rPr>
      </w:pPr>
      <w:r w:rsidRPr="00621CF2">
        <w:rPr>
          <w:rFonts w:ascii="Times New Roman" w:eastAsia="Times New Roman" w:hAnsi="Times New Roman" w:cs="Times New Roman"/>
        </w:rPr>
        <w:t xml:space="preserve">Serbisht: </w:t>
      </w:r>
      <w:hyperlink r:id="rId14" w:tgtFrame="_new" w:history="1">
        <w:r w:rsidRPr="00621CF2">
          <w:rPr>
            <w:rFonts w:ascii="Times New Roman" w:eastAsia="Times New Roman" w:hAnsi="Times New Roman" w:cs="Times New Roman"/>
            <w:u w:val="single"/>
          </w:rPr>
          <w:t>https://forms.gle/Y1GfvA9nYwEupGEt9</w:t>
        </w:r>
      </w:hyperlink>
      <w:r w:rsidRPr="00621CF2">
        <w:rPr>
          <w:rFonts w:ascii="Times New Roman" w:eastAsia="Times New Roman" w:hAnsi="Times New Roman" w:cs="Times New Roman"/>
        </w:rPr>
        <w:t xml:space="preserve"> </w:t>
      </w:r>
    </w:p>
    <w:p w14:paraId="0CC2CCA5" w14:textId="24282738" w:rsidR="00965A2A" w:rsidRPr="00B431B8" w:rsidRDefault="00965A2A" w:rsidP="00B431B8">
      <w:pPr>
        <w:spacing w:before="100" w:beforeAutospacing="1" w:after="100" w:afterAutospacing="1"/>
        <w:jc w:val="both"/>
        <w:rPr>
          <w:rFonts w:ascii="Times New Roman" w:eastAsia="Times New Roman" w:hAnsi="Times New Roman" w:cs="Times New Roman"/>
          <w:sz w:val="22"/>
          <w:szCs w:val="22"/>
        </w:rPr>
      </w:pPr>
      <w:r w:rsidRPr="00B431B8">
        <w:rPr>
          <w:rFonts w:ascii="Times New Roman" w:eastAsia="Times New Roman" w:hAnsi="Times New Roman" w:cs="Times New Roman"/>
          <w:sz w:val="22"/>
          <w:szCs w:val="22"/>
        </w:rPr>
        <w:t xml:space="preserve">Në total </w:t>
      </w:r>
      <w:proofErr w:type="spellStart"/>
      <w:r w:rsidRPr="00B431B8">
        <w:rPr>
          <w:rFonts w:ascii="Times New Roman" w:eastAsia="Times New Roman" w:hAnsi="Times New Roman" w:cs="Times New Roman"/>
          <w:sz w:val="22"/>
          <w:szCs w:val="22"/>
        </w:rPr>
        <w:t>kontribuan</w:t>
      </w:r>
      <w:proofErr w:type="spellEnd"/>
      <w:r w:rsidRPr="00B431B8">
        <w:rPr>
          <w:rFonts w:ascii="Times New Roman" w:eastAsia="Times New Roman" w:hAnsi="Times New Roman" w:cs="Times New Roman"/>
          <w:sz w:val="22"/>
          <w:szCs w:val="22"/>
        </w:rPr>
        <w:t xml:space="preserve"> 31 </w:t>
      </w:r>
      <w:proofErr w:type="spellStart"/>
      <w:r w:rsidRPr="00B431B8">
        <w:rPr>
          <w:rFonts w:ascii="Times New Roman" w:eastAsia="Times New Roman" w:hAnsi="Times New Roman" w:cs="Times New Roman"/>
          <w:sz w:val="22"/>
          <w:szCs w:val="22"/>
        </w:rPr>
        <w:t>respondentë</w:t>
      </w:r>
      <w:proofErr w:type="spellEnd"/>
      <w:r w:rsidRPr="00B431B8">
        <w:rPr>
          <w:rFonts w:ascii="Times New Roman" w:eastAsia="Times New Roman" w:hAnsi="Times New Roman" w:cs="Times New Roman"/>
          <w:sz w:val="22"/>
          <w:szCs w:val="22"/>
        </w:rPr>
        <w:t xml:space="preserve"> (18 sektor publik, 13 </w:t>
      </w:r>
      <w:r w:rsidR="00EA7738" w:rsidRPr="00EA7738">
        <w:rPr>
          <w:rFonts w:ascii="Times New Roman" w:eastAsia="Times New Roman" w:hAnsi="Times New Roman" w:cs="Times New Roman"/>
          <w:sz w:val="22"/>
          <w:szCs w:val="22"/>
        </w:rPr>
        <w:t>organizata</w:t>
      </w:r>
      <w:r w:rsidR="00EA7738">
        <w:rPr>
          <w:rFonts w:ascii="Times New Roman" w:eastAsia="Times New Roman" w:hAnsi="Times New Roman" w:cs="Times New Roman"/>
          <w:sz w:val="22"/>
          <w:szCs w:val="22"/>
        </w:rPr>
        <w:t xml:space="preserve"> të </w:t>
      </w:r>
      <w:r w:rsidR="00EA7738" w:rsidRPr="00B431B8">
        <w:rPr>
          <w:rFonts w:ascii="Times New Roman" w:eastAsia="Times New Roman" w:hAnsi="Times New Roman" w:cs="Times New Roman"/>
          <w:sz w:val="22"/>
          <w:szCs w:val="22"/>
        </w:rPr>
        <w:t>shoqëri</w:t>
      </w:r>
      <w:r w:rsidR="00EA7738">
        <w:rPr>
          <w:rFonts w:ascii="Times New Roman" w:eastAsia="Times New Roman" w:hAnsi="Times New Roman" w:cs="Times New Roman"/>
          <w:sz w:val="22"/>
          <w:szCs w:val="22"/>
        </w:rPr>
        <w:t>së</w:t>
      </w:r>
      <w:r w:rsidRPr="00B431B8">
        <w:rPr>
          <w:rFonts w:ascii="Times New Roman" w:eastAsia="Times New Roman" w:hAnsi="Times New Roman" w:cs="Times New Roman"/>
          <w:sz w:val="22"/>
          <w:szCs w:val="22"/>
        </w:rPr>
        <w:t xml:space="preserve"> civile). </w:t>
      </w:r>
    </w:p>
    <w:p w14:paraId="283191F6" w14:textId="77777777" w:rsidR="00965A2A" w:rsidRPr="00B431B8" w:rsidRDefault="00965A2A" w:rsidP="00B431B8">
      <w:pPr>
        <w:spacing w:before="100" w:beforeAutospacing="1" w:after="100" w:afterAutospacing="1"/>
        <w:jc w:val="both"/>
        <w:rPr>
          <w:rFonts w:ascii="Times New Roman" w:eastAsia="Times New Roman" w:hAnsi="Times New Roman" w:cs="Times New Roman"/>
          <w:sz w:val="22"/>
          <w:szCs w:val="22"/>
        </w:rPr>
      </w:pPr>
      <w:r w:rsidRPr="00B431B8">
        <w:rPr>
          <w:rFonts w:ascii="Times New Roman" w:eastAsia="Times New Roman" w:hAnsi="Times New Roman" w:cs="Times New Roman"/>
          <w:sz w:val="22"/>
          <w:szCs w:val="22"/>
        </w:rPr>
        <w:t xml:space="preserve">Më 22 janar 2026 u mbajt punëtoria kryesore e bashkë-krijimit në Prishtinë, u përcaktuan prioritetet përmes votimit dhe konsensusit shumëpalësh. </w:t>
      </w:r>
    </w:p>
    <w:p w14:paraId="10B950CE" w14:textId="77777777" w:rsidR="00965A2A" w:rsidRPr="003E20C5" w:rsidRDefault="00965A2A" w:rsidP="00B431B8">
      <w:pPr>
        <w:spacing w:before="100" w:beforeAutospacing="1" w:after="100" w:afterAutospacing="1"/>
        <w:jc w:val="both"/>
        <w:rPr>
          <w:rFonts w:ascii="Times New Roman" w:eastAsia="Times New Roman" w:hAnsi="Times New Roman" w:cs="Times New Roman"/>
          <w:sz w:val="22"/>
          <w:szCs w:val="22"/>
        </w:rPr>
      </w:pPr>
      <w:r w:rsidRPr="003E20C5">
        <w:rPr>
          <w:rFonts w:ascii="Times New Roman" w:eastAsia="Times New Roman" w:hAnsi="Times New Roman" w:cs="Times New Roman"/>
          <w:sz w:val="22"/>
          <w:szCs w:val="22"/>
        </w:rPr>
        <w:t xml:space="preserve">Prioritetet kryesore: </w:t>
      </w:r>
    </w:p>
    <w:p w14:paraId="305D986C" w14:textId="77777777" w:rsidR="00965A2A" w:rsidRPr="003E20C5" w:rsidRDefault="00965A2A" w:rsidP="003E20C5">
      <w:pPr>
        <w:numPr>
          <w:ilvl w:val="1"/>
          <w:numId w:val="9"/>
        </w:numPr>
        <w:spacing w:before="100" w:beforeAutospacing="1" w:after="100" w:afterAutospacing="1"/>
        <w:jc w:val="both"/>
        <w:rPr>
          <w:rFonts w:ascii="Times New Roman" w:eastAsia="Times New Roman" w:hAnsi="Times New Roman" w:cs="Times New Roman"/>
          <w:sz w:val="22"/>
          <w:szCs w:val="22"/>
        </w:rPr>
      </w:pPr>
      <w:r w:rsidRPr="003E20C5">
        <w:rPr>
          <w:rFonts w:ascii="Times New Roman" w:eastAsia="Times New Roman" w:hAnsi="Times New Roman" w:cs="Times New Roman"/>
          <w:sz w:val="22"/>
          <w:szCs w:val="22"/>
        </w:rPr>
        <w:t xml:space="preserve">pjesëmarrja qytetare </w:t>
      </w:r>
    </w:p>
    <w:p w14:paraId="11AD39CF" w14:textId="77777777" w:rsidR="00965A2A" w:rsidRPr="003E20C5" w:rsidRDefault="00965A2A" w:rsidP="003E20C5">
      <w:pPr>
        <w:numPr>
          <w:ilvl w:val="1"/>
          <w:numId w:val="9"/>
        </w:numPr>
        <w:spacing w:before="100" w:beforeAutospacing="1" w:after="100" w:afterAutospacing="1"/>
        <w:jc w:val="both"/>
        <w:rPr>
          <w:rFonts w:ascii="Times New Roman" w:eastAsia="Times New Roman" w:hAnsi="Times New Roman" w:cs="Times New Roman"/>
          <w:sz w:val="22"/>
          <w:szCs w:val="22"/>
        </w:rPr>
      </w:pPr>
      <w:r w:rsidRPr="003E20C5">
        <w:rPr>
          <w:rFonts w:ascii="Times New Roman" w:eastAsia="Times New Roman" w:hAnsi="Times New Roman" w:cs="Times New Roman"/>
          <w:sz w:val="22"/>
          <w:szCs w:val="22"/>
        </w:rPr>
        <w:t xml:space="preserve">qeverisja digjitale </w:t>
      </w:r>
    </w:p>
    <w:p w14:paraId="3D8F741F" w14:textId="77777777" w:rsidR="00965A2A" w:rsidRPr="003E20C5" w:rsidRDefault="00965A2A" w:rsidP="003E20C5">
      <w:pPr>
        <w:numPr>
          <w:ilvl w:val="1"/>
          <w:numId w:val="9"/>
        </w:numPr>
        <w:spacing w:before="100" w:beforeAutospacing="1" w:after="100" w:afterAutospacing="1"/>
        <w:jc w:val="both"/>
        <w:rPr>
          <w:rFonts w:ascii="Times New Roman" w:eastAsia="Times New Roman" w:hAnsi="Times New Roman" w:cs="Times New Roman"/>
          <w:sz w:val="22"/>
          <w:szCs w:val="22"/>
        </w:rPr>
      </w:pPr>
      <w:r w:rsidRPr="003E20C5">
        <w:rPr>
          <w:rFonts w:ascii="Times New Roman" w:eastAsia="Times New Roman" w:hAnsi="Times New Roman" w:cs="Times New Roman"/>
          <w:sz w:val="22"/>
          <w:szCs w:val="22"/>
        </w:rPr>
        <w:t xml:space="preserve">transparenca </w:t>
      </w:r>
    </w:p>
    <w:p w14:paraId="2D512000" w14:textId="07C815B8" w:rsidR="00EA7738" w:rsidRDefault="00965A2A" w:rsidP="00EA7738">
      <w:pPr>
        <w:numPr>
          <w:ilvl w:val="1"/>
          <w:numId w:val="9"/>
        </w:numPr>
        <w:spacing w:before="100" w:beforeAutospacing="1" w:after="100" w:afterAutospacing="1"/>
        <w:jc w:val="both"/>
        <w:rPr>
          <w:rFonts w:ascii="Times New Roman" w:eastAsia="Times New Roman" w:hAnsi="Times New Roman" w:cs="Times New Roman"/>
          <w:sz w:val="22"/>
          <w:szCs w:val="22"/>
        </w:rPr>
      </w:pPr>
      <w:r w:rsidRPr="003E20C5">
        <w:rPr>
          <w:rFonts w:ascii="Times New Roman" w:eastAsia="Times New Roman" w:hAnsi="Times New Roman" w:cs="Times New Roman"/>
          <w:sz w:val="22"/>
          <w:szCs w:val="22"/>
        </w:rPr>
        <w:t xml:space="preserve">lufta kundër korrupsionit </w:t>
      </w:r>
    </w:p>
    <w:p w14:paraId="718168EA" w14:textId="77777777" w:rsidR="00EA7738" w:rsidRPr="00EA7738" w:rsidRDefault="00EA7738" w:rsidP="00EA7738">
      <w:pPr>
        <w:spacing w:before="100" w:beforeAutospacing="1" w:after="100" w:afterAutospacing="1"/>
        <w:ind w:left="1440"/>
        <w:jc w:val="both"/>
        <w:rPr>
          <w:rFonts w:ascii="Times New Roman" w:eastAsia="Times New Roman" w:hAnsi="Times New Roman" w:cs="Times New Roman"/>
          <w:sz w:val="22"/>
          <w:szCs w:val="22"/>
        </w:rPr>
      </w:pPr>
    </w:p>
    <w:p w14:paraId="5024F54D" w14:textId="77777777" w:rsidR="00965A2A" w:rsidRPr="003E20C5" w:rsidRDefault="00965A2A" w:rsidP="003E20C5">
      <w:pPr>
        <w:numPr>
          <w:ilvl w:val="0"/>
          <w:numId w:val="9"/>
        </w:numPr>
        <w:spacing w:before="100" w:beforeAutospacing="1" w:after="100" w:afterAutospacing="1"/>
        <w:jc w:val="both"/>
        <w:rPr>
          <w:rFonts w:ascii="Times New Roman" w:eastAsia="Times New Roman" w:hAnsi="Times New Roman" w:cs="Times New Roman"/>
          <w:sz w:val="22"/>
          <w:szCs w:val="22"/>
        </w:rPr>
      </w:pPr>
      <w:r w:rsidRPr="003E20C5">
        <w:rPr>
          <w:rFonts w:ascii="Times New Roman" w:eastAsia="Times New Roman" w:hAnsi="Times New Roman" w:cs="Times New Roman"/>
          <w:sz w:val="22"/>
          <w:szCs w:val="22"/>
        </w:rPr>
        <w:t xml:space="preserve">U formuan grupet e punës për hartimin e zotimeve konkrete, u analizuan problemet, u propozuan zgjidhje dhe u përcaktuan rezultate e indikatorë. </w:t>
      </w:r>
    </w:p>
    <w:p w14:paraId="34E3796B" w14:textId="77777777" w:rsidR="00965A2A" w:rsidRPr="003E20C5" w:rsidRDefault="00965A2A" w:rsidP="003E20C5">
      <w:pPr>
        <w:numPr>
          <w:ilvl w:val="0"/>
          <w:numId w:val="9"/>
        </w:numPr>
        <w:spacing w:before="100" w:beforeAutospacing="1" w:after="100" w:afterAutospacing="1"/>
        <w:jc w:val="both"/>
        <w:rPr>
          <w:rFonts w:ascii="Times New Roman" w:eastAsia="Times New Roman" w:hAnsi="Times New Roman" w:cs="Times New Roman"/>
          <w:sz w:val="22"/>
          <w:szCs w:val="22"/>
        </w:rPr>
      </w:pPr>
      <w:r w:rsidRPr="003E20C5">
        <w:rPr>
          <w:rFonts w:ascii="Times New Roman" w:eastAsia="Times New Roman" w:hAnsi="Times New Roman" w:cs="Times New Roman"/>
          <w:sz w:val="22"/>
          <w:szCs w:val="22"/>
        </w:rPr>
        <w:t xml:space="preserve">Zotimet u diskutuan dhe u </w:t>
      </w:r>
      <w:proofErr w:type="spellStart"/>
      <w:r w:rsidRPr="003E20C5">
        <w:rPr>
          <w:rFonts w:ascii="Times New Roman" w:eastAsia="Times New Roman" w:hAnsi="Times New Roman" w:cs="Times New Roman"/>
          <w:sz w:val="22"/>
          <w:szCs w:val="22"/>
        </w:rPr>
        <w:t>dakorduan</w:t>
      </w:r>
      <w:proofErr w:type="spellEnd"/>
      <w:r w:rsidRPr="003E20C5">
        <w:rPr>
          <w:rFonts w:ascii="Times New Roman" w:eastAsia="Times New Roman" w:hAnsi="Times New Roman" w:cs="Times New Roman"/>
          <w:sz w:val="22"/>
          <w:szCs w:val="22"/>
        </w:rPr>
        <w:t xml:space="preserve"> në mënyrë të përbashkët të gjithë grupet e punës ku ne ketë mënyre u sigurua bashkë-pronësi dhe proces gjithëpërfshirës. </w:t>
      </w:r>
    </w:p>
    <w:p w14:paraId="15B5CDAC" w14:textId="77777777" w:rsidR="00965A2A" w:rsidRPr="003E20C5" w:rsidRDefault="00965A2A" w:rsidP="003E20C5">
      <w:pPr>
        <w:numPr>
          <w:ilvl w:val="0"/>
          <w:numId w:val="9"/>
        </w:numPr>
        <w:spacing w:before="100" w:beforeAutospacing="1" w:after="100" w:afterAutospacing="1"/>
        <w:jc w:val="both"/>
        <w:rPr>
          <w:rFonts w:ascii="Times New Roman" w:eastAsia="Times New Roman" w:hAnsi="Times New Roman" w:cs="Times New Roman"/>
          <w:sz w:val="22"/>
          <w:szCs w:val="22"/>
        </w:rPr>
      </w:pPr>
      <w:r w:rsidRPr="003E20C5">
        <w:rPr>
          <w:rFonts w:ascii="Times New Roman" w:eastAsia="Times New Roman" w:hAnsi="Times New Roman" w:cs="Times New Roman"/>
          <w:sz w:val="22"/>
          <w:szCs w:val="22"/>
        </w:rPr>
        <w:t xml:space="preserve">Më 3 shkurt 2026 u mbajt takim për rishikimin dhe përmirësimin e draftit final. </w:t>
      </w:r>
    </w:p>
    <w:p w14:paraId="7CE3168C" w14:textId="77777777" w:rsidR="00965A2A" w:rsidRPr="00621CF2" w:rsidRDefault="00965A2A" w:rsidP="003E20C5">
      <w:pPr>
        <w:pStyle w:val="NormalWeb"/>
        <w:jc w:val="both"/>
        <w:rPr>
          <w:sz w:val="22"/>
          <w:szCs w:val="22"/>
        </w:rPr>
      </w:pPr>
      <w:r w:rsidRPr="00621CF2">
        <w:rPr>
          <w:sz w:val="22"/>
          <w:szCs w:val="22"/>
        </w:rPr>
        <w:t>Mundësia për të dhënë komente u është ofruar të gjithë qytetarëve, organizatave dhe subjekteve të tjera të interesuara.</w:t>
      </w:r>
    </w:p>
    <w:p w14:paraId="266DD58B" w14:textId="77777777" w:rsidR="003E20C5" w:rsidRPr="003E20C5" w:rsidRDefault="003E20C5" w:rsidP="00B431B8">
      <w:pPr>
        <w:pStyle w:val="NormalWeb"/>
        <w:jc w:val="both"/>
        <w:rPr>
          <w:sz w:val="22"/>
          <w:szCs w:val="22"/>
        </w:rPr>
      </w:pPr>
      <w:r w:rsidRPr="007619F8">
        <w:rPr>
          <w:sz w:val="22"/>
          <w:szCs w:val="22"/>
        </w:rPr>
        <w:t>Drafti i Planit të Veprimit 2026–2028 ka qenë pjesë e një procesi të gjerë të konsultimeve paraprake, gjatë të cilit janë ofruar sqarime të detajuara për të gjithë hapat e ndërmarrë, siç janë paraqitur në tekstin përkatës më sipër. Paralelisht, drafti është publikuar edhe në platformën elektronike të Qeverisë për konsultime publike, në përputhje të plotë me afatet dhe kërkesat ligjore në fuqi.</w:t>
      </w:r>
    </w:p>
    <w:p w14:paraId="5BC4988E" w14:textId="639C809C" w:rsidR="00621CF2" w:rsidRDefault="003E20C5" w:rsidP="003E20C5">
      <w:pPr>
        <w:pStyle w:val="NormalWeb"/>
        <w:jc w:val="both"/>
        <w:rPr>
          <w:sz w:val="22"/>
          <w:szCs w:val="22"/>
        </w:rPr>
      </w:pPr>
      <w:r w:rsidRPr="003E20C5">
        <w:rPr>
          <w:sz w:val="22"/>
          <w:szCs w:val="22"/>
        </w:rPr>
        <w:t>Konsultimi i Plani të Veprimit 2026-2028 për Partneritetin për Qeverisje të Hapur është realizuar në përputhje të plotë me Kapitullin VI të Rregullores (QRK) - Nr. 17/2024 e Punës së Qeverisë së Republikës së Kosovës.</w:t>
      </w:r>
    </w:p>
    <w:p w14:paraId="2AC231D2" w14:textId="77777777" w:rsidR="003E20C5" w:rsidRPr="003E20C5" w:rsidRDefault="003E20C5" w:rsidP="003E20C5">
      <w:pPr>
        <w:pStyle w:val="NormalWeb"/>
        <w:jc w:val="both"/>
        <w:rPr>
          <w:sz w:val="22"/>
          <w:szCs w:val="22"/>
        </w:rPr>
      </w:pPr>
    </w:p>
    <w:tbl>
      <w:tblPr>
        <w:tblStyle w:val="a"/>
        <w:tblW w:w="8612" w:type="dxa"/>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301"/>
        <w:gridCol w:w="2281"/>
        <w:gridCol w:w="3030"/>
      </w:tblGrid>
      <w:tr w:rsidR="00621CF2" w:rsidRPr="00621CF2" w14:paraId="530AE56F" w14:textId="77777777" w:rsidTr="004723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1" w:type="dxa"/>
            <w:shd w:val="clear" w:color="auto" w:fill="F2F2F2"/>
          </w:tcPr>
          <w:p w14:paraId="0CAC3C22" w14:textId="77777777" w:rsidR="0047230E" w:rsidRPr="00621CF2" w:rsidRDefault="00791CC1">
            <w:pPr>
              <w:widowControl w:val="0"/>
              <w:pBdr>
                <w:top w:val="nil"/>
                <w:left w:val="nil"/>
                <w:bottom w:val="nil"/>
                <w:right w:val="nil"/>
                <w:between w:val="nil"/>
              </w:pBdr>
              <w:rPr>
                <w:rFonts w:ascii="Times New Roman" w:eastAsia="Calibri" w:hAnsi="Times New Roman" w:cs="Times New Roman"/>
                <w:sz w:val="22"/>
                <w:szCs w:val="22"/>
              </w:rPr>
            </w:pPr>
            <w:r w:rsidRPr="00621CF2">
              <w:rPr>
                <w:rFonts w:ascii="Times New Roman" w:eastAsia="Calibri" w:hAnsi="Times New Roman" w:cs="Times New Roman"/>
                <w:b w:val="0"/>
                <w:sz w:val="22"/>
                <w:szCs w:val="22"/>
              </w:rPr>
              <w:t>Metodat e Konsultimit</w:t>
            </w:r>
          </w:p>
        </w:tc>
        <w:tc>
          <w:tcPr>
            <w:tcW w:w="2281" w:type="dxa"/>
            <w:shd w:val="clear" w:color="auto" w:fill="F2F2F2"/>
          </w:tcPr>
          <w:p w14:paraId="468B9475" w14:textId="77777777" w:rsidR="0047230E" w:rsidRPr="00621CF2" w:rsidRDefault="00791CC1">
            <w:pPr>
              <w:widowControl w:val="0"/>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621CF2">
              <w:rPr>
                <w:rFonts w:ascii="Times New Roman" w:eastAsia="Calibri" w:hAnsi="Times New Roman" w:cs="Times New Roman"/>
                <w:b w:val="0"/>
                <w:sz w:val="22"/>
                <w:szCs w:val="22"/>
              </w:rPr>
              <w:t>Datat/kohëzgjatja</w:t>
            </w:r>
          </w:p>
        </w:tc>
        <w:tc>
          <w:tcPr>
            <w:tcW w:w="3030" w:type="dxa"/>
            <w:shd w:val="clear" w:color="auto" w:fill="F2F2F2"/>
          </w:tcPr>
          <w:p w14:paraId="73CB2301" w14:textId="7556D9B6" w:rsidR="0047230E" w:rsidRPr="00621CF2" w:rsidRDefault="00E42B16">
            <w:pPr>
              <w:widowControl w:val="0"/>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621CF2">
              <w:rPr>
                <w:rFonts w:ascii="Times New Roman" w:eastAsia="Calibri" w:hAnsi="Times New Roman" w:cs="Times New Roman"/>
                <w:b w:val="0"/>
                <w:sz w:val="22"/>
                <w:szCs w:val="22"/>
              </w:rPr>
              <w:t>Numri i pjesëmarrësve/</w:t>
            </w:r>
            <w:proofErr w:type="spellStart"/>
            <w:r w:rsidRPr="00621CF2">
              <w:rPr>
                <w:rFonts w:ascii="Times New Roman" w:eastAsia="Calibri" w:hAnsi="Times New Roman" w:cs="Times New Roman"/>
                <w:b w:val="0"/>
                <w:sz w:val="22"/>
                <w:szCs w:val="22"/>
              </w:rPr>
              <w:t>kontrib</w:t>
            </w:r>
            <w:r w:rsidR="00791CC1" w:rsidRPr="00621CF2">
              <w:rPr>
                <w:rFonts w:ascii="Times New Roman" w:eastAsia="Calibri" w:hAnsi="Times New Roman" w:cs="Times New Roman"/>
                <w:b w:val="0"/>
                <w:sz w:val="22"/>
                <w:szCs w:val="22"/>
              </w:rPr>
              <w:t>uesve</w:t>
            </w:r>
            <w:proofErr w:type="spellEnd"/>
          </w:p>
        </w:tc>
      </w:tr>
      <w:tr w:rsidR="00621CF2" w:rsidRPr="00621CF2" w14:paraId="15F0DEE6" w14:textId="77777777" w:rsidTr="009F2992">
        <w:tc>
          <w:tcPr>
            <w:cnfStyle w:val="001000000000" w:firstRow="0" w:lastRow="0" w:firstColumn="1" w:lastColumn="0" w:oddVBand="0" w:evenVBand="0" w:oddHBand="0" w:evenHBand="0" w:firstRowFirstColumn="0" w:firstRowLastColumn="0" w:lastRowFirstColumn="0" w:lastRowLastColumn="0"/>
            <w:tcW w:w="3301" w:type="dxa"/>
            <w:shd w:val="clear" w:color="auto" w:fill="F2F2F2"/>
          </w:tcPr>
          <w:p w14:paraId="6410A7C4" w14:textId="77777777" w:rsidR="0047230E" w:rsidRPr="00621CF2" w:rsidRDefault="00791CC1">
            <w:pPr>
              <w:widowControl w:val="0"/>
              <w:numPr>
                <w:ilvl w:val="0"/>
                <w:numId w:val="2"/>
              </w:numPr>
              <w:pBdr>
                <w:top w:val="nil"/>
                <w:left w:val="nil"/>
                <w:bottom w:val="nil"/>
                <w:right w:val="nil"/>
                <w:between w:val="nil"/>
              </w:pBdr>
              <w:ind w:left="454"/>
              <w:rPr>
                <w:rFonts w:ascii="Times New Roman" w:eastAsia="Calibri" w:hAnsi="Times New Roman" w:cs="Times New Roman"/>
                <w:sz w:val="22"/>
                <w:szCs w:val="22"/>
              </w:rPr>
            </w:pPr>
            <w:r w:rsidRPr="00621CF2">
              <w:rPr>
                <w:rFonts w:ascii="Times New Roman" w:eastAsia="Calibri" w:hAnsi="Times New Roman" w:cs="Times New Roman"/>
                <w:b w:val="0"/>
                <w:sz w:val="22"/>
                <w:szCs w:val="22"/>
              </w:rPr>
              <w:t>Konsultimet me shkrim/në mënyrë elektronike</w:t>
            </w:r>
          </w:p>
        </w:tc>
        <w:tc>
          <w:tcPr>
            <w:tcW w:w="2281" w:type="dxa"/>
          </w:tcPr>
          <w:p w14:paraId="6E00FF3D" w14:textId="5A368F22" w:rsidR="0047230E" w:rsidRPr="00621CF2" w:rsidRDefault="00D87D5D">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10</w:t>
            </w:r>
            <w:r w:rsidR="009F2992" w:rsidRPr="00621CF2">
              <w:rPr>
                <w:rFonts w:ascii="Times New Roman" w:eastAsia="Calibri" w:hAnsi="Times New Roman" w:cs="Times New Roman"/>
                <w:sz w:val="22"/>
                <w:szCs w:val="22"/>
              </w:rPr>
              <w:t xml:space="preserve"> ditë pune</w:t>
            </w:r>
          </w:p>
        </w:tc>
        <w:tc>
          <w:tcPr>
            <w:tcW w:w="3030" w:type="dxa"/>
          </w:tcPr>
          <w:p w14:paraId="374CBCB9" w14:textId="1B0EE96A" w:rsidR="0047230E" w:rsidRPr="00621CF2" w:rsidRDefault="00791CC1">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621CF2">
              <w:rPr>
                <w:rFonts w:ascii="Times New Roman" w:eastAsia="Calibri" w:hAnsi="Times New Roman" w:cs="Times New Roman"/>
                <w:sz w:val="22"/>
                <w:szCs w:val="22"/>
              </w:rPr>
              <w:t xml:space="preserve"> </w:t>
            </w:r>
            <w:r w:rsidR="00DA0540" w:rsidRPr="00621CF2">
              <w:rPr>
                <w:rFonts w:ascii="Times New Roman" w:eastAsia="Calibri" w:hAnsi="Times New Roman" w:cs="Times New Roman"/>
                <w:sz w:val="22"/>
                <w:szCs w:val="22"/>
              </w:rPr>
              <w:t>1</w:t>
            </w:r>
            <w:r w:rsidR="00300B0A" w:rsidRPr="00621CF2">
              <w:rPr>
                <w:rFonts w:ascii="Times New Roman" w:eastAsia="Calibri" w:hAnsi="Times New Roman" w:cs="Times New Roman"/>
                <w:sz w:val="22"/>
                <w:szCs w:val="22"/>
              </w:rPr>
              <w:t xml:space="preserve"> </w:t>
            </w:r>
            <w:proofErr w:type="spellStart"/>
            <w:r w:rsidR="00300B0A" w:rsidRPr="00621CF2">
              <w:rPr>
                <w:rFonts w:ascii="Times New Roman" w:eastAsia="Calibri" w:hAnsi="Times New Roman" w:cs="Times New Roman"/>
                <w:sz w:val="22"/>
                <w:szCs w:val="22"/>
              </w:rPr>
              <w:t>Kontribues</w:t>
            </w:r>
            <w:proofErr w:type="spellEnd"/>
          </w:p>
        </w:tc>
      </w:tr>
      <w:tr w:rsidR="00621CF2" w:rsidRPr="00621CF2" w14:paraId="6DF68CC1" w14:textId="77777777" w:rsidTr="009F2992">
        <w:tc>
          <w:tcPr>
            <w:cnfStyle w:val="001000000000" w:firstRow="0" w:lastRow="0" w:firstColumn="1" w:lastColumn="0" w:oddVBand="0" w:evenVBand="0" w:oddHBand="0" w:evenHBand="0" w:firstRowFirstColumn="0" w:firstRowLastColumn="0" w:lastRowFirstColumn="0" w:lastRowLastColumn="0"/>
            <w:tcW w:w="3301" w:type="dxa"/>
            <w:shd w:val="clear" w:color="auto" w:fill="F2F2F2"/>
          </w:tcPr>
          <w:p w14:paraId="54A3E14A" w14:textId="77777777" w:rsidR="0047230E" w:rsidRPr="00621CF2" w:rsidRDefault="00791CC1">
            <w:pPr>
              <w:widowControl w:val="0"/>
              <w:numPr>
                <w:ilvl w:val="0"/>
                <w:numId w:val="2"/>
              </w:numPr>
              <w:pBdr>
                <w:top w:val="nil"/>
                <w:left w:val="nil"/>
                <w:bottom w:val="nil"/>
                <w:right w:val="nil"/>
                <w:between w:val="nil"/>
              </w:pBdr>
              <w:ind w:left="454"/>
              <w:rPr>
                <w:rFonts w:ascii="Times New Roman" w:eastAsia="Calibri" w:hAnsi="Times New Roman" w:cs="Times New Roman"/>
                <w:sz w:val="22"/>
                <w:szCs w:val="22"/>
              </w:rPr>
            </w:pPr>
            <w:r w:rsidRPr="00621CF2">
              <w:rPr>
                <w:rFonts w:ascii="Times New Roman" w:eastAsia="Calibri" w:hAnsi="Times New Roman" w:cs="Times New Roman"/>
                <w:b w:val="0"/>
                <w:sz w:val="22"/>
                <w:szCs w:val="22"/>
              </w:rPr>
              <w:t>Publikimi në ueb faqe/Platforma elektronike</w:t>
            </w:r>
          </w:p>
        </w:tc>
        <w:tc>
          <w:tcPr>
            <w:tcW w:w="2281" w:type="dxa"/>
          </w:tcPr>
          <w:p w14:paraId="2E06B584" w14:textId="0EADD448" w:rsidR="0047230E" w:rsidRPr="00621CF2" w:rsidRDefault="009F2992">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621CF2">
              <w:rPr>
                <w:rFonts w:ascii="Times New Roman" w:eastAsia="Calibri" w:hAnsi="Times New Roman" w:cs="Times New Roman"/>
                <w:sz w:val="22"/>
                <w:szCs w:val="22"/>
              </w:rPr>
              <w:t>10 ditë pune</w:t>
            </w:r>
          </w:p>
        </w:tc>
        <w:tc>
          <w:tcPr>
            <w:tcW w:w="3030" w:type="dxa"/>
          </w:tcPr>
          <w:p w14:paraId="526E566E" w14:textId="240E5C91" w:rsidR="0047230E" w:rsidRPr="00621CF2" w:rsidRDefault="00791CC1">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621CF2">
              <w:rPr>
                <w:rFonts w:ascii="Times New Roman" w:eastAsia="Calibri" w:hAnsi="Times New Roman" w:cs="Times New Roman"/>
                <w:sz w:val="22"/>
                <w:szCs w:val="22"/>
              </w:rPr>
              <w:t xml:space="preserve"> </w:t>
            </w:r>
            <w:r w:rsidR="009F2992" w:rsidRPr="00621CF2">
              <w:rPr>
                <w:rFonts w:ascii="Times New Roman" w:eastAsia="Calibri" w:hAnsi="Times New Roman" w:cs="Times New Roman"/>
                <w:sz w:val="22"/>
                <w:szCs w:val="22"/>
              </w:rPr>
              <w:t xml:space="preserve">1 </w:t>
            </w:r>
            <w:proofErr w:type="spellStart"/>
            <w:r w:rsidR="009F2992" w:rsidRPr="00621CF2">
              <w:rPr>
                <w:rFonts w:ascii="Times New Roman" w:eastAsia="Calibri" w:hAnsi="Times New Roman" w:cs="Times New Roman"/>
                <w:sz w:val="22"/>
                <w:szCs w:val="22"/>
              </w:rPr>
              <w:t>K</w:t>
            </w:r>
            <w:r w:rsidR="00F27EB5" w:rsidRPr="00621CF2">
              <w:rPr>
                <w:rFonts w:ascii="Times New Roman" w:eastAsia="Calibri" w:hAnsi="Times New Roman" w:cs="Times New Roman"/>
                <w:sz w:val="22"/>
                <w:szCs w:val="22"/>
              </w:rPr>
              <w:t>ontribues</w:t>
            </w:r>
            <w:proofErr w:type="spellEnd"/>
          </w:p>
        </w:tc>
      </w:tr>
      <w:tr w:rsidR="00621CF2" w:rsidRPr="00621CF2" w14:paraId="452B5F60" w14:textId="77777777" w:rsidTr="00766989">
        <w:tc>
          <w:tcPr>
            <w:cnfStyle w:val="001000000000" w:firstRow="0" w:lastRow="0" w:firstColumn="1" w:lastColumn="0" w:oddVBand="0" w:evenVBand="0" w:oddHBand="0" w:evenHBand="0" w:firstRowFirstColumn="0" w:firstRowLastColumn="0" w:lastRowFirstColumn="0" w:lastRowLastColumn="0"/>
            <w:tcW w:w="3301" w:type="dxa"/>
            <w:shd w:val="clear" w:color="auto" w:fill="F2F2F2"/>
          </w:tcPr>
          <w:p w14:paraId="2682BD4E" w14:textId="77777777" w:rsidR="0047230E" w:rsidRPr="00621CF2" w:rsidRDefault="00791CC1">
            <w:pPr>
              <w:widowControl w:val="0"/>
              <w:numPr>
                <w:ilvl w:val="0"/>
                <w:numId w:val="2"/>
              </w:numPr>
              <w:pBdr>
                <w:top w:val="nil"/>
                <w:left w:val="nil"/>
                <w:bottom w:val="nil"/>
                <w:right w:val="nil"/>
                <w:between w:val="nil"/>
              </w:pBdr>
              <w:ind w:left="454"/>
              <w:rPr>
                <w:rFonts w:ascii="Times New Roman" w:eastAsia="Calibri" w:hAnsi="Times New Roman" w:cs="Times New Roman"/>
                <w:sz w:val="22"/>
                <w:szCs w:val="22"/>
              </w:rPr>
            </w:pPr>
            <w:r w:rsidRPr="00621CF2">
              <w:rPr>
                <w:rFonts w:ascii="Times New Roman" w:eastAsia="Calibri" w:hAnsi="Times New Roman" w:cs="Times New Roman"/>
                <w:b w:val="0"/>
                <w:sz w:val="22"/>
                <w:szCs w:val="22"/>
              </w:rPr>
              <w:t>Takim i drejtpërdrejtë</w:t>
            </w:r>
          </w:p>
        </w:tc>
        <w:tc>
          <w:tcPr>
            <w:tcW w:w="2281" w:type="dxa"/>
          </w:tcPr>
          <w:p w14:paraId="00A5101D" w14:textId="308E4558" w:rsidR="0047230E" w:rsidRPr="00621CF2" w:rsidRDefault="00766989">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621CF2">
              <w:rPr>
                <w:rFonts w:ascii="Times New Roman" w:eastAsia="Calibri" w:hAnsi="Times New Roman" w:cs="Times New Roman"/>
                <w:sz w:val="22"/>
                <w:szCs w:val="22"/>
              </w:rPr>
              <w:t xml:space="preserve">6 takime </w:t>
            </w:r>
          </w:p>
        </w:tc>
        <w:tc>
          <w:tcPr>
            <w:tcW w:w="3030" w:type="dxa"/>
          </w:tcPr>
          <w:p w14:paraId="5767D38B" w14:textId="44C69BBD" w:rsidR="0047230E" w:rsidRPr="00621CF2" w:rsidRDefault="00637C5F">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621CF2">
              <w:rPr>
                <w:rFonts w:ascii="Times New Roman" w:eastAsia="Calibri" w:hAnsi="Times New Roman" w:cs="Times New Roman"/>
                <w:sz w:val="22"/>
                <w:szCs w:val="22"/>
              </w:rPr>
              <w:t>70 Pjesëmarrës</w:t>
            </w:r>
          </w:p>
        </w:tc>
      </w:tr>
    </w:tbl>
    <w:p w14:paraId="0B1BC637" w14:textId="77777777" w:rsidR="00621CF2" w:rsidRDefault="00621CF2" w:rsidP="00697830">
      <w:pPr>
        <w:spacing w:line="276" w:lineRule="auto"/>
        <w:jc w:val="center"/>
        <w:rPr>
          <w:rFonts w:ascii="Times New Roman" w:eastAsia="Calibri" w:hAnsi="Times New Roman" w:cs="Times New Roman"/>
          <w:b/>
          <w:sz w:val="22"/>
          <w:szCs w:val="22"/>
        </w:rPr>
      </w:pPr>
    </w:p>
    <w:p w14:paraId="438FEA8C" w14:textId="77777777" w:rsidR="00621CF2" w:rsidRDefault="00621CF2" w:rsidP="00697830">
      <w:pPr>
        <w:spacing w:line="276" w:lineRule="auto"/>
        <w:jc w:val="center"/>
        <w:rPr>
          <w:rFonts w:ascii="Times New Roman" w:eastAsia="Calibri" w:hAnsi="Times New Roman" w:cs="Times New Roman"/>
          <w:b/>
          <w:sz w:val="22"/>
          <w:szCs w:val="22"/>
        </w:rPr>
      </w:pPr>
    </w:p>
    <w:p w14:paraId="201D5EE6" w14:textId="77777777" w:rsidR="00621CF2" w:rsidRDefault="00621CF2" w:rsidP="00697830">
      <w:pPr>
        <w:spacing w:line="276" w:lineRule="auto"/>
        <w:jc w:val="center"/>
        <w:rPr>
          <w:rFonts w:ascii="Times New Roman" w:eastAsia="Calibri" w:hAnsi="Times New Roman" w:cs="Times New Roman"/>
          <w:b/>
          <w:sz w:val="22"/>
          <w:szCs w:val="22"/>
        </w:rPr>
      </w:pPr>
    </w:p>
    <w:p w14:paraId="21CE69D5" w14:textId="77777777" w:rsidR="00621CF2" w:rsidRDefault="00621CF2" w:rsidP="00697830">
      <w:pPr>
        <w:spacing w:line="276" w:lineRule="auto"/>
        <w:jc w:val="center"/>
        <w:rPr>
          <w:rFonts w:ascii="Times New Roman" w:eastAsia="Calibri" w:hAnsi="Times New Roman" w:cs="Times New Roman"/>
          <w:b/>
          <w:sz w:val="22"/>
          <w:szCs w:val="22"/>
        </w:rPr>
      </w:pPr>
    </w:p>
    <w:p w14:paraId="06BEE6C6" w14:textId="77777777" w:rsidR="00621CF2" w:rsidRDefault="00621CF2" w:rsidP="00697830">
      <w:pPr>
        <w:spacing w:line="276" w:lineRule="auto"/>
        <w:jc w:val="center"/>
        <w:rPr>
          <w:rFonts w:ascii="Times New Roman" w:eastAsia="Calibri" w:hAnsi="Times New Roman" w:cs="Times New Roman"/>
          <w:b/>
          <w:sz w:val="22"/>
          <w:szCs w:val="22"/>
        </w:rPr>
      </w:pPr>
    </w:p>
    <w:p w14:paraId="176DFFAE" w14:textId="77777777" w:rsidR="00736619" w:rsidRDefault="00736619" w:rsidP="00697830">
      <w:pPr>
        <w:spacing w:line="276" w:lineRule="auto"/>
        <w:jc w:val="center"/>
        <w:rPr>
          <w:rFonts w:ascii="Times New Roman" w:eastAsia="Calibri" w:hAnsi="Times New Roman" w:cs="Times New Roman"/>
          <w:b/>
          <w:sz w:val="22"/>
          <w:szCs w:val="22"/>
        </w:rPr>
      </w:pPr>
    </w:p>
    <w:p w14:paraId="0325CA0A" w14:textId="77777777" w:rsidR="00621CF2" w:rsidRDefault="00621CF2" w:rsidP="00697830">
      <w:pPr>
        <w:spacing w:line="276" w:lineRule="auto"/>
        <w:jc w:val="center"/>
        <w:rPr>
          <w:rFonts w:ascii="Times New Roman" w:eastAsia="Calibri" w:hAnsi="Times New Roman" w:cs="Times New Roman"/>
          <w:b/>
          <w:sz w:val="22"/>
          <w:szCs w:val="22"/>
        </w:rPr>
      </w:pPr>
    </w:p>
    <w:p w14:paraId="07142375" w14:textId="194CD871" w:rsidR="00697830" w:rsidRPr="00621CF2" w:rsidRDefault="00697830" w:rsidP="00697830">
      <w:pPr>
        <w:spacing w:line="276" w:lineRule="auto"/>
        <w:jc w:val="center"/>
        <w:rPr>
          <w:rFonts w:ascii="Times New Roman" w:eastAsia="Calibri" w:hAnsi="Times New Roman" w:cs="Times New Roman"/>
          <w:b/>
          <w:sz w:val="22"/>
          <w:szCs w:val="22"/>
        </w:rPr>
      </w:pPr>
      <w:r w:rsidRPr="00621CF2">
        <w:rPr>
          <w:rFonts w:ascii="Times New Roman" w:eastAsia="Calibri" w:hAnsi="Times New Roman" w:cs="Times New Roman"/>
          <w:b/>
          <w:sz w:val="22"/>
          <w:szCs w:val="22"/>
        </w:rPr>
        <w:t>Përmbledhje e kontributeve të pranuara gjatë procesit të konsultimit</w:t>
      </w:r>
    </w:p>
    <w:p w14:paraId="2AA0FEAC" w14:textId="77777777" w:rsidR="00697830" w:rsidRPr="00621CF2" w:rsidRDefault="00697830" w:rsidP="00697830">
      <w:pPr>
        <w:spacing w:line="276" w:lineRule="auto"/>
        <w:jc w:val="both"/>
        <w:rPr>
          <w:rFonts w:ascii="Times New Roman" w:eastAsia="Calibri" w:hAnsi="Times New Roman" w:cs="Times New Roman"/>
          <w:b/>
          <w:sz w:val="22"/>
          <w:szCs w:val="22"/>
        </w:rPr>
      </w:pPr>
    </w:p>
    <w:p w14:paraId="7D56C4AD" w14:textId="77777777" w:rsidR="00697830" w:rsidRPr="00621CF2" w:rsidRDefault="00697830" w:rsidP="00697830">
      <w:pPr>
        <w:spacing w:line="276" w:lineRule="auto"/>
        <w:jc w:val="both"/>
        <w:rPr>
          <w:rFonts w:ascii="Times New Roman" w:eastAsia="Calibri" w:hAnsi="Times New Roman" w:cs="Times New Roman"/>
          <w:bCs/>
          <w:sz w:val="22"/>
          <w:szCs w:val="22"/>
        </w:rPr>
      </w:pPr>
      <w:r w:rsidRPr="00621CF2">
        <w:rPr>
          <w:rFonts w:ascii="Times New Roman" w:eastAsia="Calibri" w:hAnsi="Times New Roman" w:cs="Times New Roman"/>
          <w:bCs/>
          <w:sz w:val="22"/>
          <w:szCs w:val="22"/>
        </w:rPr>
        <w:t>Kontributet për Planin e Veprimit 2026–2028 janë dhënë gjatë procesit të konsultimit publik, kryesisht përmes formës së shkruar në mënyrë elektronike.</w:t>
      </w:r>
    </w:p>
    <w:p w14:paraId="04C429E5" w14:textId="77777777" w:rsidR="00697830" w:rsidRPr="00621CF2" w:rsidRDefault="00697830" w:rsidP="00697830">
      <w:pPr>
        <w:spacing w:line="276" w:lineRule="auto"/>
        <w:jc w:val="both"/>
        <w:rPr>
          <w:rFonts w:ascii="Times New Roman" w:eastAsia="Calibri" w:hAnsi="Times New Roman" w:cs="Times New Roman"/>
          <w:b/>
          <w:sz w:val="22"/>
          <w:szCs w:val="22"/>
        </w:rPr>
      </w:pPr>
    </w:p>
    <w:p w14:paraId="7487F235" w14:textId="34182997" w:rsidR="00697830" w:rsidRPr="00621CF2" w:rsidRDefault="00697830" w:rsidP="00697830">
      <w:pPr>
        <w:spacing w:line="276" w:lineRule="auto"/>
        <w:jc w:val="center"/>
        <w:rPr>
          <w:rFonts w:ascii="Times New Roman" w:eastAsia="Calibri" w:hAnsi="Times New Roman" w:cs="Times New Roman"/>
          <w:b/>
          <w:sz w:val="22"/>
          <w:szCs w:val="22"/>
        </w:rPr>
      </w:pPr>
      <w:r w:rsidRPr="00621CF2">
        <w:rPr>
          <w:rFonts w:ascii="Times New Roman" w:eastAsia="Calibri" w:hAnsi="Times New Roman" w:cs="Times New Roman"/>
          <w:b/>
          <w:sz w:val="22"/>
          <w:szCs w:val="22"/>
        </w:rPr>
        <w:t>Çështje të tjera</w:t>
      </w:r>
    </w:p>
    <w:p w14:paraId="1E63C80D" w14:textId="77777777" w:rsidR="00697830" w:rsidRPr="00621CF2" w:rsidRDefault="00697830" w:rsidP="00697830">
      <w:pPr>
        <w:spacing w:line="276" w:lineRule="auto"/>
        <w:jc w:val="both"/>
        <w:rPr>
          <w:rFonts w:ascii="Times New Roman" w:eastAsia="Calibri" w:hAnsi="Times New Roman" w:cs="Times New Roman"/>
          <w:b/>
          <w:sz w:val="22"/>
          <w:szCs w:val="22"/>
        </w:rPr>
      </w:pPr>
    </w:p>
    <w:p w14:paraId="74FE6AAB" w14:textId="77777777" w:rsidR="00697830" w:rsidRPr="00621CF2" w:rsidRDefault="00697830" w:rsidP="00697830">
      <w:pPr>
        <w:spacing w:line="276" w:lineRule="auto"/>
        <w:jc w:val="both"/>
        <w:rPr>
          <w:rFonts w:ascii="Times New Roman" w:eastAsia="Calibri" w:hAnsi="Times New Roman" w:cs="Times New Roman"/>
          <w:bCs/>
          <w:sz w:val="22"/>
          <w:szCs w:val="22"/>
        </w:rPr>
      </w:pPr>
      <w:r w:rsidRPr="00621CF2">
        <w:rPr>
          <w:rFonts w:ascii="Times New Roman" w:eastAsia="Calibri" w:hAnsi="Times New Roman" w:cs="Times New Roman"/>
          <w:bCs/>
          <w:sz w:val="22"/>
          <w:szCs w:val="22"/>
        </w:rPr>
        <w:t>Të gjitha kontributet e pranuara janë shqyrtuar veç e veç, ndërsa raporti i detajuar i komenteve të pranuara është paraqitur në mënyrë të plotë në shtojcën nr. 1 të këtij raporti.</w:t>
      </w:r>
    </w:p>
    <w:p w14:paraId="5F4F1B0E" w14:textId="77777777" w:rsidR="00697830" w:rsidRPr="00621CF2" w:rsidRDefault="00697830" w:rsidP="00697830">
      <w:pPr>
        <w:spacing w:line="276" w:lineRule="auto"/>
        <w:jc w:val="both"/>
        <w:rPr>
          <w:rFonts w:ascii="Times New Roman" w:eastAsia="Calibri" w:hAnsi="Times New Roman" w:cs="Times New Roman"/>
          <w:b/>
          <w:sz w:val="22"/>
          <w:szCs w:val="22"/>
        </w:rPr>
      </w:pPr>
    </w:p>
    <w:p w14:paraId="78CDC884" w14:textId="0B592FE6" w:rsidR="00697830" w:rsidRPr="00621CF2" w:rsidRDefault="00697830" w:rsidP="00697830">
      <w:pPr>
        <w:spacing w:line="276" w:lineRule="auto"/>
        <w:jc w:val="center"/>
        <w:rPr>
          <w:rFonts w:ascii="Times New Roman" w:eastAsia="Calibri" w:hAnsi="Times New Roman" w:cs="Times New Roman"/>
          <w:b/>
          <w:sz w:val="22"/>
          <w:szCs w:val="22"/>
        </w:rPr>
      </w:pPr>
      <w:r w:rsidRPr="00621CF2">
        <w:rPr>
          <w:rFonts w:ascii="Times New Roman" w:eastAsia="Calibri" w:hAnsi="Times New Roman" w:cs="Times New Roman"/>
          <w:b/>
          <w:sz w:val="22"/>
          <w:szCs w:val="22"/>
        </w:rPr>
        <w:t>Hapat e ardhshëm</w:t>
      </w:r>
    </w:p>
    <w:p w14:paraId="09926764" w14:textId="77777777" w:rsidR="00697830" w:rsidRPr="00621CF2" w:rsidRDefault="00697830" w:rsidP="00697830">
      <w:pPr>
        <w:spacing w:line="276" w:lineRule="auto"/>
        <w:jc w:val="both"/>
        <w:rPr>
          <w:rFonts w:ascii="Times New Roman" w:eastAsia="Calibri" w:hAnsi="Times New Roman" w:cs="Times New Roman"/>
          <w:b/>
          <w:sz w:val="22"/>
          <w:szCs w:val="22"/>
        </w:rPr>
      </w:pPr>
    </w:p>
    <w:p w14:paraId="2A3504A6" w14:textId="50952F7C" w:rsidR="00697830" w:rsidRPr="00621CF2" w:rsidRDefault="00697830" w:rsidP="00697830">
      <w:pPr>
        <w:spacing w:line="276" w:lineRule="auto"/>
        <w:jc w:val="both"/>
        <w:rPr>
          <w:rFonts w:ascii="Times New Roman" w:eastAsia="Calibri" w:hAnsi="Times New Roman" w:cs="Times New Roman"/>
          <w:bCs/>
          <w:sz w:val="22"/>
          <w:szCs w:val="22"/>
        </w:rPr>
      </w:pPr>
      <w:r w:rsidRPr="00621CF2">
        <w:rPr>
          <w:rFonts w:ascii="Times New Roman" w:eastAsia="Calibri" w:hAnsi="Times New Roman" w:cs="Times New Roman"/>
          <w:bCs/>
          <w:sz w:val="22"/>
          <w:szCs w:val="22"/>
        </w:rPr>
        <w:t>Plani i Veprimit 2026–2028, pas përmbylljes së procesit të konsultimit publik dhe atij paraprak, është finalizuar dhe pritet të procedohet për miratim në Qeverinë e Republikës së Kosovës, përmes Ministrisë së Administrimit të Pushtetit Lokal.</w:t>
      </w:r>
    </w:p>
    <w:p w14:paraId="5222B3B4" w14:textId="77777777" w:rsidR="00697830" w:rsidRPr="00621CF2" w:rsidRDefault="00697830">
      <w:pPr>
        <w:spacing w:line="276" w:lineRule="auto"/>
        <w:jc w:val="both"/>
        <w:rPr>
          <w:rFonts w:ascii="Times New Roman" w:eastAsia="Calibri" w:hAnsi="Times New Roman" w:cs="Times New Roman"/>
          <w:sz w:val="22"/>
          <w:szCs w:val="22"/>
        </w:rPr>
      </w:pPr>
    </w:p>
    <w:p w14:paraId="2416F519" w14:textId="77777777" w:rsidR="00697830" w:rsidRPr="00621CF2" w:rsidRDefault="00697830">
      <w:pPr>
        <w:spacing w:line="276" w:lineRule="auto"/>
        <w:jc w:val="both"/>
        <w:rPr>
          <w:rFonts w:ascii="Times New Roman" w:eastAsia="Calibri" w:hAnsi="Times New Roman" w:cs="Times New Roman"/>
          <w:sz w:val="22"/>
          <w:szCs w:val="22"/>
        </w:rPr>
        <w:sectPr w:rsidR="00697830" w:rsidRPr="00621CF2">
          <w:footerReference w:type="even" r:id="rId15"/>
          <w:footerReference w:type="default" r:id="rId16"/>
          <w:pgSz w:w="12240" w:h="15840"/>
          <w:pgMar w:top="1440" w:right="1800" w:bottom="1440" w:left="1800" w:header="720" w:footer="720" w:gutter="0"/>
          <w:pgNumType w:start="1"/>
          <w:cols w:space="720"/>
        </w:sectPr>
      </w:pPr>
    </w:p>
    <w:p w14:paraId="1FC5791B" w14:textId="30904EAB" w:rsidR="0047230E" w:rsidRPr="00621CF2" w:rsidRDefault="00791CC1">
      <w:pPr>
        <w:rPr>
          <w:rFonts w:ascii="Times New Roman" w:eastAsia="Calibri" w:hAnsi="Times New Roman" w:cs="Times New Roman"/>
          <w:sz w:val="22"/>
          <w:szCs w:val="22"/>
        </w:rPr>
      </w:pPr>
      <w:r w:rsidRPr="00621CF2">
        <w:rPr>
          <w:rFonts w:ascii="Times New Roman" w:eastAsia="Calibri" w:hAnsi="Times New Roman" w:cs="Times New Roman"/>
          <w:b/>
          <w:sz w:val="22"/>
          <w:szCs w:val="22"/>
        </w:rPr>
        <w:lastRenderedPageBreak/>
        <w:t>Shtojca –</w:t>
      </w:r>
      <w:r w:rsidR="00D73E62" w:rsidRPr="00621CF2">
        <w:rPr>
          <w:rFonts w:ascii="Times New Roman" w:eastAsia="Calibri" w:hAnsi="Times New Roman" w:cs="Times New Roman"/>
          <w:sz w:val="22"/>
          <w:szCs w:val="22"/>
        </w:rPr>
        <w:t xml:space="preserve"> T</w:t>
      </w:r>
      <w:r w:rsidRPr="00621CF2">
        <w:rPr>
          <w:rFonts w:ascii="Times New Roman" w:eastAsia="Calibri" w:hAnsi="Times New Roman" w:cs="Times New Roman"/>
          <w:sz w:val="22"/>
          <w:szCs w:val="22"/>
        </w:rPr>
        <w:t>abela e deta</w:t>
      </w:r>
      <w:r w:rsidR="00D73E62" w:rsidRPr="00621CF2">
        <w:rPr>
          <w:rFonts w:ascii="Times New Roman" w:eastAsia="Calibri" w:hAnsi="Times New Roman" w:cs="Times New Roman"/>
          <w:sz w:val="22"/>
          <w:szCs w:val="22"/>
        </w:rPr>
        <w:t xml:space="preserve">juar me informatat për </w:t>
      </w:r>
      <w:proofErr w:type="spellStart"/>
      <w:r w:rsidR="00D73E62" w:rsidRPr="00621CF2">
        <w:rPr>
          <w:rFonts w:ascii="Times New Roman" w:eastAsia="Calibri" w:hAnsi="Times New Roman" w:cs="Times New Roman"/>
          <w:sz w:val="22"/>
          <w:szCs w:val="22"/>
        </w:rPr>
        <w:t>kontribu</w:t>
      </w:r>
      <w:r w:rsidRPr="00621CF2">
        <w:rPr>
          <w:rFonts w:ascii="Times New Roman" w:eastAsia="Calibri" w:hAnsi="Times New Roman" w:cs="Times New Roman"/>
          <w:sz w:val="22"/>
          <w:szCs w:val="22"/>
        </w:rPr>
        <w:t>esit</w:t>
      </w:r>
      <w:proofErr w:type="spellEnd"/>
      <w:r w:rsidRPr="00621CF2">
        <w:rPr>
          <w:rFonts w:ascii="Times New Roman" w:eastAsia="Calibri" w:hAnsi="Times New Roman" w:cs="Times New Roman"/>
          <w:sz w:val="22"/>
          <w:szCs w:val="22"/>
        </w:rPr>
        <w:t xml:space="preserve">, arsyetimet për përgjigjet e pranuara dhe të refuzuara.  </w:t>
      </w:r>
    </w:p>
    <w:p w14:paraId="75C3BD0C" w14:textId="77777777" w:rsidR="0047230E" w:rsidRPr="00621CF2" w:rsidRDefault="0047230E" w:rsidP="007B0835">
      <w:pPr>
        <w:rPr>
          <w:rFonts w:ascii="Times New Roman" w:eastAsia="Book Antiqua" w:hAnsi="Times New Roman" w:cs="Times New Roman"/>
          <w:sz w:val="21"/>
          <w:szCs w:val="21"/>
        </w:rPr>
      </w:pPr>
    </w:p>
    <w:tbl>
      <w:tblPr>
        <w:tblStyle w:val="a0"/>
        <w:tblpPr w:leftFromText="180" w:rightFromText="180" w:vertAnchor="text" w:tblpX="-807" w:tblpY="1"/>
        <w:tblW w:w="14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40" w:firstRow="0" w:lastRow="1" w:firstColumn="0" w:lastColumn="0" w:noHBand="0" w:noVBand="1"/>
      </w:tblPr>
      <w:tblGrid>
        <w:gridCol w:w="2065"/>
        <w:gridCol w:w="5490"/>
        <w:gridCol w:w="1260"/>
        <w:gridCol w:w="1505"/>
        <w:gridCol w:w="4349"/>
      </w:tblGrid>
      <w:tr w:rsidR="00621CF2" w:rsidRPr="00621CF2" w14:paraId="5A54808B" w14:textId="77777777" w:rsidTr="00E22A47">
        <w:trPr>
          <w:trHeight w:val="620"/>
        </w:trPr>
        <w:tc>
          <w:tcPr>
            <w:tcW w:w="2065" w:type="dxa"/>
          </w:tcPr>
          <w:p w14:paraId="7138770F" w14:textId="77777777" w:rsidR="0047230E" w:rsidRPr="00621CF2" w:rsidRDefault="00791CC1" w:rsidP="00CB3628">
            <w:pPr>
              <w:rPr>
                <w:rFonts w:ascii="Times New Roman" w:eastAsia="Calibri" w:hAnsi="Times New Roman" w:cs="Times New Roman"/>
                <w:b/>
                <w:sz w:val="21"/>
                <w:szCs w:val="21"/>
              </w:rPr>
            </w:pPr>
            <w:r w:rsidRPr="00621CF2">
              <w:rPr>
                <w:rFonts w:ascii="Times New Roman" w:eastAsia="Calibri" w:hAnsi="Times New Roman" w:cs="Times New Roman"/>
                <w:b/>
                <w:sz w:val="21"/>
                <w:szCs w:val="21"/>
              </w:rPr>
              <w:t>Temat e konsultimit</w:t>
            </w:r>
          </w:p>
        </w:tc>
        <w:tc>
          <w:tcPr>
            <w:tcW w:w="5490" w:type="dxa"/>
          </w:tcPr>
          <w:p w14:paraId="1E3C647A" w14:textId="77777777" w:rsidR="0047230E" w:rsidRPr="00621CF2" w:rsidRDefault="00791CC1" w:rsidP="00CB3628">
            <w:pPr>
              <w:jc w:val="both"/>
              <w:rPr>
                <w:rFonts w:ascii="Times New Roman" w:eastAsia="Calibri" w:hAnsi="Times New Roman" w:cs="Times New Roman"/>
                <w:b/>
                <w:sz w:val="21"/>
                <w:szCs w:val="21"/>
              </w:rPr>
            </w:pPr>
            <w:r w:rsidRPr="00621CF2">
              <w:rPr>
                <w:rFonts w:ascii="Times New Roman" w:eastAsia="Calibri" w:hAnsi="Times New Roman" w:cs="Times New Roman"/>
                <w:b/>
                <w:sz w:val="21"/>
                <w:szCs w:val="21"/>
              </w:rPr>
              <w:t>Komentet</w:t>
            </w:r>
          </w:p>
        </w:tc>
        <w:tc>
          <w:tcPr>
            <w:tcW w:w="1260" w:type="dxa"/>
          </w:tcPr>
          <w:p w14:paraId="0DE750B3" w14:textId="77777777" w:rsidR="0047230E" w:rsidRPr="00621CF2" w:rsidRDefault="00791CC1" w:rsidP="00CB3628">
            <w:pPr>
              <w:rPr>
                <w:rFonts w:ascii="Times New Roman" w:eastAsia="Calibri" w:hAnsi="Times New Roman" w:cs="Times New Roman"/>
                <w:b/>
                <w:sz w:val="21"/>
                <w:szCs w:val="21"/>
              </w:rPr>
            </w:pPr>
            <w:r w:rsidRPr="00621CF2">
              <w:rPr>
                <w:rFonts w:ascii="Times New Roman" w:eastAsia="Calibri" w:hAnsi="Times New Roman" w:cs="Times New Roman"/>
                <w:b/>
                <w:sz w:val="21"/>
                <w:szCs w:val="21"/>
              </w:rPr>
              <w:t>Kush ka komentuar</w:t>
            </w:r>
          </w:p>
        </w:tc>
        <w:tc>
          <w:tcPr>
            <w:tcW w:w="1505" w:type="dxa"/>
          </w:tcPr>
          <w:p w14:paraId="7E0F953A" w14:textId="77777777" w:rsidR="0047230E" w:rsidRPr="00621CF2" w:rsidRDefault="00791CC1" w:rsidP="00CB3628">
            <w:pPr>
              <w:rPr>
                <w:rFonts w:ascii="Times New Roman" w:eastAsia="Calibri" w:hAnsi="Times New Roman" w:cs="Times New Roman"/>
                <w:b/>
                <w:sz w:val="21"/>
                <w:szCs w:val="21"/>
              </w:rPr>
            </w:pPr>
            <w:r w:rsidRPr="00621CF2">
              <w:rPr>
                <w:rFonts w:ascii="Times New Roman" w:eastAsia="Calibri" w:hAnsi="Times New Roman" w:cs="Times New Roman"/>
                <w:b/>
                <w:sz w:val="21"/>
                <w:szCs w:val="21"/>
              </w:rPr>
              <w:t>Statusi i Komenteve</w:t>
            </w:r>
          </w:p>
          <w:p w14:paraId="36DCC6BC" w14:textId="77777777" w:rsidR="0047230E" w:rsidRPr="00621CF2" w:rsidRDefault="00791CC1" w:rsidP="00CB3628">
            <w:pPr>
              <w:rPr>
                <w:rFonts w:ascii="Times New Roman" w:eastAsia="Calibri" w:hAnsi="Times New Roman" w:cs="Times New Roman"/>
                <w:b/>
                <w:sz w:val="21"/>
                <w:szCs w:val="21"/>
              </w:rPr>
            </w:pPr>
            <w:r w:rsidRPr="00621CF2">
              <w:rPr>
                <w:rFonts w:ascii="Times New Roman" w:eastAsia="Calibri" w:hAnsi="Times New Roman" w:cs="Times New Roman"/>
                <w:b/>
                <w:sz w:val="21"/>
                <w:szCs w:val="21"/>
              </w:rPr>
              <w:t xml:space="preserve">- pranuar, pjesërisht pranuar, nuk është pranuar </w:t>
            </w:r>
          </w:p>
        </w:tc>
        <w:tc>
          <w:tcPr>
            <w:tcW w:w="4349" w:type="dxa"/>
          </w:tcPr>
          <w:p w14:paraId="4EC0ED18" w14:textId="77777777" w:rsidR="0047230E" w:rsidRPr="005377A5" w:rsidRDefault="00791CC1" w:rsidP="00CB3628">
            <w:pPr>
              <w:rPr>
                <w:rFonts w:ascii="Times New Roman" w:eastAsia="Calibri" w:hAnsi="Times New Roman" w:cs="Times New Roman"/>
                <w:b/>
                <w:color w:val="FF0000"/>
                <w:sz w:val="21"/>
                <w:szCs w:val="21"/>
              </w:rPr>
            </w:pPr>
            <w:r w:rsidRPr="005377A5">
              <w:rPr>
                <w:rFonts w:ascii="Times New Roman" w:eastAsia="Calibri" w:hAnsi="Times New Roman" w:cs="Times New Roman"/>
                <w:b/>
                <w:sz w:val="21"/>
                <w:szCs w:val="21"/>
              </w:rPr>
              <w:t>Komente (komentimi për  pranimi</w:t>
            </w:r>
            <w:r w:rsidR="00EB60CD" w:rsidRPr="005377A5">
              <w:rPr>
                <w:rFonts w:ascii="Times New Roman" w:eastAsia="Calibri" w:hAnsi="Times New Roman" w:cs="Times New Roman"/>
                <w:b/>
                <w:sz w:val="21"/>
                <w:szCs w:val="21"/>
              </w:rPr>
              <w:t xml:space="preserve">n pjesërisht dhe mos pranimin e </w:t>
            </w:r>
            <w:r w:rsidRPr="005377A5">
              <w:rPr>
                <w:rFonts w:ascii="Times New Roman" w:eastAsia="Calibri" w:hAnsi="Times New Roman" w:cs="Times New Roman"/>
                <w:b/>
                <w:sz w:val="21"/>
                <w:szCs w:val="21"/>
              </w:rPr>
              <w:t xml:space="preserve"> komenteve është i detyrueshëm)</w:t>
            </w:r>
          </w:p>
        </w:tc>
      </w:tr>
      <w:tr w:rsidR="00621CF2" w:rsidRPr="00621CF2" w14:paraId="39578684" w14:textId="77777777" w:rsidTr="00E22A47">
        <w:trPr>
          <w:trHeight w:val="3025"/>
        </w:trPr>
        <w:tc>
          <w:tcPr>
            <w:tcW w:w="2065" w:type="dxa"/>
          </w:tcPr>
          <w:p w14:paraId="483BEFF2" w14:textId="77C7C7C8" w:rsidR="00424128" w:rsidRPr="00EC036A" w:rsidRDefault="00424128" w:rsidP="00EC036A">
            <w:pPr>
              <w:pStyle w:val="p1"/>
              <w:jc w:val="both"/>
              <w:rPr>
                <w:rStyle w:val="s1"/>
                <w:rFonts w:ascii="Times New Roman" w:hAnsi="Times New Roman"/>
                <w:b/>
                <w:sz w:val="21"/>
                <w:szCs w:val="21"/>
              </w:rPr>
            </w:pPr>
            <w:r w:rsidRPr="00EC036A">
              <w:rPr>
                <w:rStyle w:val="s1"/>
                <w:rFonts w:ascii="Times New Roman" w:hAnsi="Times New Roman"/>
                <w:b/>
                <w:sz w:val="21"/>
                <w:szCs w:val="21"/>
              </w:rPr>
              <w:t>F</w:t>
            </w:r>
            <w:r w:rsidRPr="00EC036A">
              <w:rPr>
                <w:rFonts w:ascii="Times New Roman" w:hAnsi="Times New Roman"/>
                <w:b/>
                <w:sz w:val="21"/>
                <w:szCs w:val="21"/>
              </w:rPr>
              <w:t>orcimi i transparencës përmes indikatorëve të matshëm</w:t>
            </w:r>
          </w:p>
        </w:tc>
        <w:tc>
          <w:tcPr>
            <w:tcW w:w="5490" w:type="dxa"/>
          </w:tcPr>
          <w:p w14:paraId="426D4D1C" w14:textId="475D41C3" w:rsidR="00134A25" w:rsidRPr="00EC036A" w:rsidRDefault="00134A25" w:rsidP="00134A25">
            <w:pPr>
              <w:pStyle w:val="p1"/>
              <w:jc w:val="both"/>
              <w:rPr>
                <w:rFonts w:ascii="Times New Roman" w:hAnsi="Times New Roman"/>
                <w:sz w:val="21"/>
                <w:szCs w:val="21"/>
                <w:lang w:val="en-US"/>
              </w:rPr>
            </w:pPr>
            <w:proofErr w:type="spellStart"/>
            <w:r w:rsidRPr="00EC036A">
              <w:rPr>
                <w:rFonts w:ascii="Times New Roman" w:hAnsi="Times New Roman"/>
                <w:sz w:val="21"/>
                <w:szCs w:val="21"/>
                <w:lang w:val="en-US"/>
              </w:rPr>
              <w:t>Në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kuadër</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të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procesit</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të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konsultimit</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publik</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për</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Planin</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Kombëtar</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të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Veprimit</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për</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Qeverisje</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të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Hapur</w:t>
            </w:r>
            <w:proofErr w:type="spellEnd"/>
            <w:r w:rsidRPr="00EC036A">
              <w:rPr>
                <w:rFonts w:ascii="Times New Roman" w:hAnsi="Times New Roman"/>
                <w:sz w:val="21"/>
                <w:szCs w:val="21"/>
                <w:lang w:val="en-US"/>
              </w:rPr>
              <w:t xml:space="preserve"> 2026–2028, </w:t>
            </w:r>
            <w:proofErr w:type="spellStart"/>
            <w:r w:rsidRPr="00EC036A">
              <w:rPr>
                <w:rFonts w:ascii="Times New Roman" w:hAnsi="Times New Roman"/>
                <w:sz w:val="21"/>
                <w:szCs w:val="21"/>
                <w:lang w:val="en-US"/>
              </w:rPr>
              <w:t>paraqesim</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këto</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komente</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dhe</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rekomandime</w:t>
            </w:r>
            <w:proofErr w:type="spellEnd"/>
            <w:r w:rsidRPr="00EC036A">
              <w:rPr>
                <w:rFonts w:ascii="Times New Roman" w:hAnsi="Times New Roman"/>
                <w:sz w:val="21"/>
                <w:szCs w:val="21"/>
                <w:lang w:val="en-US"/>
              </w:rPr>
              <w:t xml:space="preserve"> me </w:t>
            </w:r>
            <w:proofErr w:type="spellStart"/>
            <w:r w:rsidRPr="00EC036A">
              <w:rPr>
                <w:rFonts w:ascii="Times New Roman" w:hAnsi="Times New Roman"/>
                <w:sz w:val="21"/>
                <w:szCs w:val="21"/>
                <w:lang w:val="en-US"/>
              </w:rPr>
              <w:t>qëllim</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të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përmirësimit</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të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transparencës</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pjesëmarrjes</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qytetare</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dhe</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llogaridhënies</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institucionale</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Dokumenti</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synon</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të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kontribuojë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në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përforcimin</w:t>
            </w:r>
            <w:proofErr w:type="spellEnd"/>
            <w:r w:rsidRPr="00EC036A">
              <w:rPr>
                <w:rFonts w:ascii="Times New Roman" w:hAnsi="Times New Roman"/>
                <w:sz w:val="21"/>
                <w:szCs w:val="21"/>
                <w:lang w:val="en-US"/>
              </w:rPr>
              <w:t xml:space="preserve"> e </w:t>
            </w:r>
            <w:proofErr w:type="spellStart"/>
            <w:r w:rsidRPr="00EC036A">
              <w:rPr>
                <w:rFonts w:ascii="Times New Roman" w:hAnsi="Times New Roman"/>
                <w:sz w:val="21"/>
                <w:szCs w:val="21"/>
                <w:lang w:val="en-US"/>
              </w:rPr>
              <w:t>mekanizmave</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të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qeverisjes</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së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hapur</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dhe</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në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rritjen</w:t>
            </w:r>
            <w:proofErr w:type="spellEnd"/>
            <w:r w:rsidRPr="00EC036A">
              <w:rPr>
                <w:rFonts w:ascii="Times New Roman" w:hAnsi="Times New Roman"/>
                <w:sz w:val="21"/>
                <w:szCs w:val="21"/>
                <w:lang w:val="en-US"/>
              </w:rPr>
              <w:t xml:space="preserve"> e </w:t>
            </w:r>
            <w:proofErr w:type="spellStart"/>
            <w:r w:rsidRPr="00EC036A">
              <w:rPr>
                <w:rFonts w:ascii="Times New Roman" w:hAnsi="Times New Roman"/>
                <w:sz w:val="21"/>
                <w:szCs w:val="21"/>
                <w:lang w:val="en-US"/>
              </w:rPr>
              <w:t>besimit</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të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qytetarëve</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në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institucionet</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publike</w:t>
            </w:r>
            <w:proofErr w:type="spellEnd"/>
            <w:r w:rsidRPr="00EC036A">
              <w:rPr>
                <w:rFonts w:ascii="Times New Roman" w:hAnsi="Times New Roman"/>
                <w:sz w:val="21"/>
                <w:szCs w:val="21"/>
                <w:lang w:val="en-US"/>
              </w:rPr>
              <w:t>.</w:t>
            </w:r>
          </w:p>
          <w:p w14:paraId="46ACC8EF" w14:textId="77777777" w:rsidR="00EC036A" w:rsidRPr="00EC036A" w:rsidRDefault="00EC036A" w:rsidP="00134A25">
            <w:pPr>
              <w:pStyle w:val="p1"/>
              <w:jc w:val="both"/>
              <w:rPr>
                <w:rFonts w:ascii="Times New Roman" w:hAnsi="Times New Roman"/>
                <w:b/>
                <w:bCs/>
                <w:sz w:val="21"/>
                <w:szCs w:val="21"/>
                <w:lang w:val="en-US"/>
              </w:rPr>
            </w:pPr>
          </w:p>
          <w:p w14:paraId="76340801" w14:textId="147D1DE4" w:rsidR="00134A25" w:rsidRPr="00EC036A" w:rsidRDefault="0000195A" w:rsidP="00134A25">
            <w:pPr>
              <w:pStyle w:val="p1"/>
              <w:jc w:val="both"/>
              <w:rPr>
                <w:rFonts w:ascii="Times New Roman" w:hAnsi="Times New Roman"/>
                <w:b/>
                <w:bCs/>
                <w:sz w:val="21"/>
                <w:szCs w:val="21"/>
                <w:lang w:val="en-US"/>
              </w:rPr>
            </w:pPr>
            <w:proofErr w:type="spellStart"/>
            <w:r w:rsidRPr="00EC036A">
              <w:rPr>
                <w:rFonts w:ascii="Times New Roman" w:hAnsi="Times New Roman"/>
                <w:b/>
                <w:bCs/>
                <w:sz w:val="21"/>
                <w:szCs w:val="21"/>
                <w:lang w:val="en-US"/>
              </w:rPr>
              <w:t>Rekomandohet</w:t>
            </w:r>
            <w:proofErr w:type="spellEnd"/>
            <w:r w:rsidRPr="00EC036A">
              <w:rPr>
                <w:rFonts w:ascii="Times New Roman" w:hAnsi="Times New Roman"/>
                <w:b/>
                <w:bCs/>
                <w:sz w:val="21"/>
                <w:szCs w:val="21"/>
                <w:lang w:val="en-US"/>
              </w:rPr>
              <w:t xml:space="preserve"> </w:t>
            </w:r>
            <w:proofErr w:type="spellStart"/>
            <w:r w:rsidRPr="00EC036A">
              <w:rPr>
                <w:rFonts w:ascii="Times New Roman" w:hAnsi="Times New Roman"/>
                <w:b/>
                <w:bCs/>
                <w:sz w:val="21"/>
                <w:szCs w:val="21"/>
                <w:lang w:val="en-US"/>
              </w:rPr>
              <w:t>v</w:t>
            </w:r>
            <w:r w:rsidR="00134A25" w:rsidRPr="00EC036A">
              <w:rPr>
                <w:rFonts w:ascii="Times New Roman" w:hAnsi="Times New Roman"/>
                <w:b/>
                <w:bCs/>
                <w:sz w:val="21"/>
                <w:szCs w:val="21"/>
                <w:lang w:val="en-US"/>
              </w:rPr>
              <w:t>endosja</w:t>
            </w:r>
            <w:proofErr w:type="spellEnd"/>
            <w:r w:rsidR="00134A25" w:rsidRPr="00EC036A">
              <w:rPr>
                <w:rFonts w:ascii="Times New Roman" w:hAnsi="Times New Roman"/>
                <w:b/>
                <w:bCs/>
                <w:sz w:val="21"/>
                <w:szCs w:val="21"/>
                <w:lang w:val="en-US"/>
              </w:rPr>
              <w:t xml:space="preserve"> e </w:t>
            </w:r>
            <w:proofErr w:type="spellStart"/>
            <w:r w:rsidR="00134A25" w:rsidRPr="00EC036A">
              <w:rPr>
                <w:rFonts w:ascii="Times New Roman" w:hAnsi="Times New Roman"/>
                <w:b/>
                <w:bCs/>
                <w:sz w:val="21"/>
                <w:szCs w:val="21"/>
                <w:lang w:val="en-US"/>
              </w:rPr>
              <w:t>indikatorëve</w:t>
            </w:r>
            <w:proofErr w:type="spellEnd"/>
            <w:r w:rsidR="00134A25" w:rsidRPr="00EC036A">
              <w:rPr>
                <w:rFonts w:ascii="Times New Roman" w:hAnsi="Times New Roman"/>
                <w:b/>
                <w:bCs/>
                <w:sz w:val="21"/>
                <w:szCs w:val="21"/>
                <w:lang w:val="en-US"/>
              </w:rPr>
              <w:t xml:space="preserve"> </w:t>
            </w:r>
            <w:proofErr w:type="spellStart"/>
            <w:r w:rsidR="00134A25" w:rsidRPr="00EC036A">
              <w:rPr>
                <w:rFonts w:ascii="Times New Roman" w:hAnsi="Times New Roman"/>
                <w:b/>
                <w:bCs/>
                <w:sz w:val="21"/>
                <w:szCs w:val="21"/>
                <w:lang w:val="en-US"/>
              </w:rPr>
              <w:t>të</w:t>
            </w:r>
            <w:proofErr w:type="spellEnd"/>
            <w:r w:rsidR="00134A25" w:rsidRPr="00EC036A">
              <w:rPr>
                <w:rFonts w:ascii="Times New Roman" w:hAnsi="Times New Roman"/>
                <w:b/>
                <w:bCs/>
                <w:sz w:val="21"/>
                <w:szCs w:val="21"/>
                <w:lang w:val="en-US"/>
              </w:rPr>
              <w:t xml:space="preserve"> </w:t>
            </w:r>
            <w:proofErr w:type="spellStart"/>
            <w:r w:rsidR="00134A25" w:rsidRPr="00EC036A">
              <w:rPr>
                <w:rFonts w:ascii="Times New Roman" w:hAnsi="Times New Roman"/>
                <w:b/>
                <w:bCs/>
                <w:sz w:val="21"/>
                <w:szCs w:val="21"/>
                <w:lang w:val="en-US"/>
              </w:rPr>
              <w:t>matshëm</w:t>
            </w:r>
            <w:proofErr w:type="spellEnd"/>
            <w:r w:rsidR="00134A25" w:rsidRPr="00EC036A">
              <w:rPr>
                <w:rFonts w:ascii="Times New Roman" w:hAnsi="Times New Roman"/>
                <w:b/>
                <w:bCs/>
                <w:sz w:val="21"/>
                <w:szCs w:val="21"/>
                <w:lang w:val="en-US"/>
              </w:rPr>
              <w:t xml:space="preserve"> </w:t>
            </w:r>
            <w:proofErr w:type="spellStart"/>
            <w:r w:rsidR="00134A25" w:rsidRPr="00EC036A">
              <w:rPr>
                <w:rFonts w:ascii="Times New Roman" w:hAnsi="Times New Roman"/>
                <w:b/>
                <w:bCs/>
                <w:sz w:val="21"/>
                <w:szCs w:val="21"/>
                <w:lang w:val="en-US"/>
              </w:rPr>
              <w:t>të</w:t>
            </w:r>
            <w:proofErr w:type="spellEnd"/>
            <w:r w:rsidR="00134A25" w:rsidRPr="00EC036A">
              <w:rPr>
                <w:rFonts w:ascii="Times New Roman" w:hAnsi="Times New Roman"/>
                <w:b/>
                <w:bCs/>
                <w:sz w:val="21"/>
                <w:szCs w:val="21"/>
                <w:lang w:val="en-US"/>
              </w:rPr>
              <w:t xml:space="preserve"> performancës</w:t>
            </w:r>
          </w:p>
          <w:p w14:paraId="45241097" w14:textId="77777777" w:rsidR="00134A25" w:rsidRPr="00EC036A" w:rsidRDefault="00134A25" w:rsidP="00134A25">
            <w:pPr>
              <w:pStyle w:val="p1"/>
              <w:jc w:val="both"/>
              <w:rPr>
                <w:rFonts w:ascii="Times New Roman" w:hAnsi="Times New Roman"/>
                <w:sz w:val="21"/>
                <w:szCs w:val="21"/>
                <w:lang w:val="en-US"/>
              </w:rPr>
            </w:pPr>
            <w:proofErr w:type="spellStart"/>
            <w:r w:rsidRPr="00EC036A">
              <w:rPr>
                <w:rFonts w:ascii="Times New Roman" w:hAnsi="Times New Roman"/>
                <w:sz w:val="21"/>
                <w:szCs w:val="21"/>
                <w:lang w:val="en-US"/>
              </w:rPr>
              <w:t>Rekomandohet</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që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për</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secilin</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zotim</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të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planit</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të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përcaktohen</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indikatorë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të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matshëm</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të</w:t>
            </w:r>
            <w:proofErr w:type="spellEnd"/>
            <w:r w:rsidRPr="00EC036A">
              <w:rPr>
                <w:rFonts w:ascii="Times New Roman" w:hAnsi="Times New Roman"/>
                <w:sz w:val="21"/>
                <w:szCs w:val="21"/>
                <w:lang w:val="en-US"/>
              </w:rPr>
              <w:t xml:space="preserve"> performancës (KPI) </w:t>
            </w:r>
            <w:proofErr w:type="spellStart"/>
            <w:r w:rsidRPr="00EC036A">
              <w:rPr>
                <w:rFonts w:ascii="Times New Roman" w:hAnsi="Times New Roman"/>
                <w:sz w:val="21"/>
                <w:szCs w:val="21"/>
                <w:lang w:val="en-US"/>
              </w:rPr>
              <w:t>për</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të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mundësuar</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monitorimin</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sistematik</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të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progresit</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dhe</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vlerësimin</w:t>
            </w:r>
            <w:proofErr w:type="spellEnd"/>
            <w:r w:rsidRPr="00EC036A">
              <w:rPr>
                <w:rFonts w:ascii="Times New Roman" w:hAnsi="Times New Roman"/>
                <w:sz w:val="21"/>
                <w:szCs w:val="21"/>
                <w:lang w:val="en-US"/>
              </w:rPr>
              <w:t xml:space="preserve"> e </w:t>
            </w:r>
            <w:proofErr w:type="spellStart"/>
            <w:r w:rsidRPr="00EC036A">
              <w:rPr>
                <w:rFonts w:ascii="Times New Roman" w:hAnsi="Times New Roman"/>
                <w:sz w:val="21"/>
                <w:szCs w:val="21"/>
                <w:lang w:val="en-US"/>
              </w:rPr>
              <w:t>ndikimit</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të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aktiviteteve</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të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planifikuara</w:t>
            </w:r>
            <w:proofErr w:type="spellEnd"/>
            <w:r w:rsidRPr="00EC036A">
              <w:rPr>
                <w:rFonts w:ascii="Times New Roman" w:hAnsi="Times New Roman"/>
                <w:sz w:val="21"/>
                <w:szCs w:val="21"/>
                <w:lang w:val="en-US"/>
              </w:rPr>
              <w:t>.</w:t>
            </w:r>
          </w:p>
          <w:p w14:paraId="139D3F02" w14:textId="77777777" w:rsidR="00134A25" w:rsidRPr="00EC036A" w:rsidRDefault="00134A25" w:rsidP="00134A25">
            <w:pPr>
              <w:pStyle w:val="p1"/>
              <w:jc w:val="both"/>
              <w:rPr>
                <w:rFonts w:ascii="Times New Roman" w:hAnsi="Times New Roman"/>
                <w:sz w:val="21"/>
                <w:szCs w:val="21"/>
                <w:lang w:val="en-US"/>
              </w:rPr>
            </w:pPr>
            <w:proofErr w:type="spellStart"/>
            <w:r w:rsidRPr="00EC036A">
              <w:rPr>
                <w:rFonts w:ascii="Times New Roman" w:hAnsi="Times New Roman"/>
                <w:sz w:val="21"/>
                <w:szCs w:val="21"/>
                <w:lang w:val="en-US"/>
              </w:rPr>
              <w:t>Shembuj</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indikatorësh</w:t>
            </w:r>
            <w:proofErr w:type="spellEnd"/>
            <w:r w:rsidRPr="00EC036A">
              <w:rPr>
                <w:rFonts w:ascii="Times New Roman" w:hAnsi="Times New Roman"/>
                <w:sz w:val="21"/>
                <w:szCs w:val="21"/>
                <w:lang w:val="en-US"/>
              </w:rPr>
              <w:t>:</w:t>
            </w:r>
          </w:p>
          <w:p w14:paraId="190F4F70" w14:textId="1EEF1F0B" w:rsidR="00EC036A" w:rsidRPr="00EC036A" w:rsidRDefault="00134A25" w:rsidP="00134A25">
            <w:pPr>
              <w:pStyle w:val="p1"/>
              <w:numPr>
                <w:ilvl w:val="0"/>
                <w:numId w:val="11"/>
              </w:numPr>
              <w:jc w:val="both"/>
              <w:rPr>
                <w:rFonts w:ascii="Times New Roman" w:hAnsi="Times New Roman"/>
                <w:sz w:val="21"/>
                <w:szCs w:val="21"/>
                <w:lang w:val="en-US"/>
              </w:rPr>
            </w:pPr>
            <w:proofErr w:type="spellStart"/>
            <w:r w:rsidRPr="00EC036A">
              <w:rPr>
                <w:rFonts w:ascii="Times New Roman" w:hAnsi="Times New Roman"/>
                <w:sz w:val="21"/>
                <w:szCs w:val="21"/>
                <w:lang w:val="en-US"/>
              </w:rPr>
              <w:t>Numri</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i</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përdoruesve</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aktivë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të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platfo</w:t>
            </w:r>
            <w:r w:rsidR="00EC036A" w:rsidRPr="00EC036A">
              <w:rPr>
                <w:rFonts w:ascii="Times New Roman" w:hAnsi="Times New Roman"/>
                <w:sz w:val="21"/>
                <w:szCs w:val="21"/>
                <w:lang w:val="en-US"/>
              </w:rPr>
              <w:t>rmave</w:t>
            </w:r>
            <w:proofErr w:type="spellEnd"/>
            <w:r w:rsidR="00EC036A" w:rsidRPr="00EC036A">
              <w:rPr>
                <w:rFonts w:ascii="Times New Roman" w:hAnsi="Times New Roman"/>
                <w:sz w:val="21"/>
                <w:szCs w:val="21"/>
                <w:lang w:val="en-US"/>
              </w:rPr>
              <w:t xml:space="preserve"> </w:t>
            </w:r>
            <w:proofErr w:type="spellStart"/>
            <w:r w:rsidR="00EC036A" w:rsidRPr="00EC036A">
              <w:rPr>
                <w:rFonts w:ascii="Times New Roman" w:hAnsi="Times New Roman"/>
                <w:sz w:val="21"/>
                <w:szCs w:val="21"/>
                <w:lang w:val="en-US"/>
              </w:rPr>
              <w:t>digjitale</w:t>
            </w:r>
            <w:proofErr w:type="spellEnd"/>
            <w:r w:rsidR="00EC036A" w:rsidRPr="00EC036A">
              <w:rPr>
                <w:rFonts w:ascii="Times New Roman" w:hAnsi="Times New Roman"/>
                <w:sz w:val="21"/>
                <w:szCs w:val="21"/>
                <w:lang w:val="en-US"/>
              </w:rPr>
              <w:t xml:space="preserve"> </w:t>
            </w:r>
            <w:proofErr w:type="spellStart"/>
            <w:r w:rsidR="00EC036A" w:rsidRPr="00EC036A">
              <w:rPr>
                <w:rFonts w:ascii="Times New Roman" w:hAnsi="Times New Roman"/>
                <w:sz w:val="21"/>
                <w:szCs w:val="21"/>
                <w:lang w:val="en-US"/>
              </w:rPr>
              <w:t>të</w:t>
            </w:r>
            <w:proofErr w:type="spellEnd"/>
            <w:r w:rsidR="00EC036A" w:rsidRPr="00EC036A">
              <w:rPr>
                <w:rFonts w:ascii="Times New Roman" w:hAnsi="Times New Roman"/>
                <w:sz w:val="21"/>
                <w:szCs w:val="21"/>
                <w:lang w:val="en-US"/>
              </w:rPr>
              <w:t xml:space="preserve"> </w:t>
            </w:r>
            <w:proofErr w:type="spellStart"/>
            <w:r w:rsidR="00EC036A" w:rsidRPr="00EC036A">
              <w:rPr>
                <w:rFonts w:ascii="Times New Roman" w:hAnsi="Times New Roman"/>
                <w:sz w:val="21"/>
                <w:szCs w:val="21"/>
                <w:lang w:val="en-US"/>
              </w:rPr>
              <w:t>pjesëmarrjes</w:t>
            </w:r>
            <w:proofErr w:type="spellEnd"/>
            <w:r w:rsidR="00EC036A" w:rsidRPr="00EC036A">
              <w:rPr>
                <w:rFonts w:ascii="Times New Roman" w:hAnsi="Times New Roman"/>
                <w:sz w:val="21"/>
                <w:szCs w:val="21"/>
                <w:lang w:val="en-US"/>
              </w:rPr>
              <w:t>;</w:t>
            </w:r>
          </w:p>
          <w:p w14:paraId="7D808EA3" w14:textId="77777777" w:rsidR="00EC036A" w:rsidRPr="00EC036A" w:rsidRDefault="00134A25" w:rsidP="00134A25">
            <w:pPr>
              <w:pStyle w:val="p1"/>
              <w:numPr>
                <w:ilvl w:val="0"/>
                <w:numId w:val="11"/>
              </w:numPr>
              <w:jc w:val="both"/>
              <w:rPr>
                <w:rFonts w:ascii="Times New Roman" w:hAnsi="Times New Roman"/>
                <w:sz w:val="21"/>
                <w:szCs w:val="21"/>
                <w:lang w:val="en-US"/>
              </w:rPr>
            </w:pPr>
            <w:r w:rsidRPr="00EC036A">
              <w:rPr>
                <w:rFonts w:ascii="Times New Roman" w:hAnsi="Times New Roman"/>
                <w:sz w:val="21"/>
                <w:szCs w:val="21"/>
                <w:lang w:val="en-US"/>
              </w:rPr>
              <w:t xml:space="preserve">Koha </w:t>
            </w:r>
            <w:proofErr w:type="spellStart"/>
            <w:r w:rsidRPr="00EC036A">
              <w:rPr>
                <w:rFonts w:ascii="Times New Roman" w:hAnsi="Times New Roman"/>
                <w:sz w:val="21"/>
                <w:szCs w:val="21"/>
                <w:lang w:val="en-US"/>
              </w:rPr>
              <w:t>mesatare</w:t>
            </w:r>
            <w:proofErr w:type="spellEnd"/>
            <w:r w:rsidRPr="00EC036A">
              <w:rPr>
                <w:rFonts w:ascii="Times New Roman" w:hAnsi="Times New Roman"/>
                <w:sz w:val="21"/>
                <w:szCs w:val="21"/>
                <w:lang w:val="en-US"/>
              </w:rPr>
              <w:t xml:space="preserve"> e </w:t>
            </w:r>
            <w:proofErr w:type="spellStart"/>
            <w:r w:rsidRPr="00EC036A">
              <w:rPr>
                <w:rFonts w:ascii="Times New Roman" w:hAnsi="Times New Roman"/>
                <w:sz w:val="21"/>
                <w:szCs w:val="21"/>
                <w:lang w:val="en-US"/>
              </w:rPr>
              <w:t>përgjigjes</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së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institucione</w:t>
            </w:r>
            <w:r w:rsidR="00EC036A" w:rsidRPr="00EC036A">
              <w:rPr>
                <w:rFonts w:ascii="Times New Roman" w:hAnsi="Times New Roman"/>
                <w:sz w:val="21"/>
                <w:szCs w:val="21"/>
                <w:lang w:val="en-US"/>
              </w:rPr>
              <w:t>ve</w:t>
            </w:r>
            <w:proofErr w:type="spellEnd"/>
            <w:r w:rsidR="00EC036A" w:rsidRPr="00EC036A">
              <w:rPr>
                <w:rFonts w:ascii="Times New Roman" w:hAnsi="Times New Roman"/>
                <w:sz w:val="21"/>
                <w:szCs w:val="21"/>
                <w:lang w:val="en-US"/>
              </w:rPr>
              <w:t xml:space="preserve"> </w:t>
            </w:r>
            <w:proofErr w:type="spellStart"/>
            <w:r w:rsidR="00EC036A" w:rsidRPr="00EC036A">
              <w:rPr>
                <w:rFonts w:ascii="Times New Roman" w:hAnsi="Times New Roman"/>
                <w:sz w:val="21"/>
                <w:szCs w:val="21"/>
                <w:lang w:val="en-US"/>
              </w:rPr>
              <w:t>ndaj</w:t>
            </w:r>
            <w:proofErr w:type="spellEnd"/>
            <w:r w:rsidR="00EC036A" w:rsidRPr="00EC036A">
              <w:rPr>
                <w:rFonts w:ascii="Times New Roman" w:hAnsi="Times New Roman"/>
                <w:sz w:val="21"/>
                <w:szCs w:val="21"/>
                <w:lang w:val="en-US"/>
              </w:rPr>
              <w:t xml:space="preserve"> </w:t>
            </w:r>
            <w:proofErr w:type="spellStart"/>
            <w:r w:rsidR="00EC036A" w:rsidRPr="00EC036A">
              <w:rPr>
                <w:rFonts w:ascii="Times New Roman" w:hAnsi="Times New Roman"/>
                <w:sz w:val="21"/>
                <w:szCs w:val="21"/>
                <w:lang w:val="en-US"/>
              </w:rPr>
              <w:t>kërkesave</w:t>
            </w:r>
            <w:proofErr w:type="spellEnd"/>
            <w:r w:rsidR="00EC036A" w:rsidRPr="00EC036A">
              <w:rPr>
                <w:rFonts w:ascii="Times New Roman" w:hAnsi="Times New Roman"/>
                <w:sz w:val="21"/>
                <w:szCs w:val="21"/>
                <w:lang w:val="en-US"/>
              </w:rPr>
              <w:t xml:space="preserve"> </w:t>
            </w:r>
            <w:proofErr w:type="spellStart"/>
            <w:r w:rsidR="00EC036A" w:rsidRPr="00EC036A">
              <w:rPr>
                <w:rFonts w:ascii="Times New Roman" w:hAnsi="Times New Roman"/>
                <w:sz w:val="21"/>
                <w:szCs w:val="21"/>
                <w:lang w:val="en-US"/>
              </w:rPr>
              <w:t>të</w:t>
            </w:r>
            <w:proofErr w:type="spellEnd"/>
            <w:r w:rsidR="00EC036A" w:rsidRPr="00EC036A">
              <w:rPr>
                <w:rFonts w:ascii="Times New Roman" w:hAnsi="Times New Roman"/>
                <w:sz w:val="21"/>
                <w:szCs w:val="21"/>
                <w:lang w:val="en-US"/>
              </w:rPr>
              <w:t xml:space="preserve"> </w:t>
            </w:r>
            <w:proofErr w:type="spellStart"/>
            <w:r w:rsidR="00EC036A" w:rsidRPr="00EC036A">
              <w:rPr>
                <w:rFonts w:ascii="Times New Roman" w:hAnsi="Times New Roman"/>
                <w:sz w:val="21"/>
                <w:szCs w:val="21"/>
                <w:lang w:val="en-US"/>
              </w:rPr>
              <w:t>qytetarëve</w:t>
            </w:r>
            <w:proofErr w:type="spellEnd"/>
            <w:r w:rsidR="00EC036A" w:rsidRPr="00EC036A">
              <w:rPr>
                <w:rFonts w:ascii="Times New Roman" w:hAnsi="Times New Roman"/>
                <w:sz w:val="21"/>
                <w:szCs w:val="21"/>
                <w:lang w:val="en-US"/>
              </w:rPr>
              <w:t>;</w:t>
            </w:r>
          </w:p>
          <w:p w14:paraId="00CFE173" w14:textId="08E9697D" w:rsidR="00134A25" w:rsidRPr="00EC036A" w:rsidRDefault="00134A25" w:rsidP="00134A25">
            <w:pPr>
              <w:pStyle w:val="p1"/>
              <w:numPr>
                <w:ilvl w:val="0"/>
                <w:numId w:val="11"/>
              </w:numPr>
              <w:jc w:val="both"/>
              <w:rPr>
                <w:rFonts w:ascii="Times New Roman" w:hAnsi="Times New Roman"/>
                <w:sz w:val="21"/>
                <w:szCs w:val="21"/>
                <w:lang w:val="en-US"/>
              </w:rPr>
            </w:pPr>
            <w:proofErr w:type="spellStart"/>
            <w:r w:rsidRPr="00EC036A">
              <w:rPr>
                <w:rFonts w:ascii="Times New Roman" w:hAnsi="Times New Roman"/>
                <w:sz w:val="21"/>
                <w:szCs w:val="21"/>
                <w:lang w:val="en-US"/>
              </w:rPr>
              <w:t>Numri</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i</w:t>
            </w:r>
            <w:proofErr w:type="spellEnd"/>
            <w:r w:rsidRPr="00EC036A">
              <w:rPr>
                <w:rFonts w:ascii="Times New Roman" w:hAnsi="Times New Roman"/>
                <w:sz w:val="21"/>
                <w:szCs w:val="21"/>
                <w:lang w:val="en-US"/>
              </w:rPr>
              <w:t xml:space="preserve"> dataset-eve </w:t>
            </w:r>
            <w:proofErr w:type="spellStart"/>
            <w:r w:rsidRPr="00EC036A">
              <w:rPr>
                <w:rFonts w:ascii="Times New Roman" w:hAnsi="Times New Roman"/>
                <w:sz w:val="21"/>
                <w:szCs w:val="21"/>
                <w:lang w:val="en-US"/>
              </w:rPr>
              <w:t>të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publikuara</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në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platformën</w:t>
            </w:r>
            <w:proofErr w:type="spellEnd"/>
            <w:r w:rsidRPr="00EC036A">
              <w:rPr>
                <w:rFonts w:ascii="Times New Roman" w:hAnsi="Times New Roman"/>
                <w:sz w:val="21"/>
                <w:szCs w:val="21"/>
                <w:lang w:val="en-US"/>
              </w:rPr>
              <w:t xml:space="preserve"> e </w:t>
            </w:r>
            <w:proofErr w:type="spellStart"/>
            <w:r w:rsidRPr="00EC036A">
              <w:rPr>
                <w:rFonts w:ascii="Times New Roman" w:hAnsi="Times New Roman"/>
                <w:sz w:val="21"/>
                <w:szCs w:val="21"/>
                <w:lang w:val="en-US"/>
              </w:rPr>
              <w:t>të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dhënave</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të</w:t>
            </w:r>
            <w:proofErr w:type="spellEnd"/>
            <w:r w:rsidRPr="00EC036A">
              <w:rPr>
                <w:rFonts w:ascii="Times New Roman" w:hAnsi="Times New Roman"/>
                <w:sz w:val="21"/>
                <w:szCs w:val="21"/>
                <w:lang w:val="en-US"/>
              </w:rPr>
              <w:t xml:space="preserve"> </w:t>
            </w:r>
            <w:proofErr w:type="spellStart"/>
            <w:r w:rsidRPr="00EC036A">
              <w:rPr>
                <w:rFonts w:ascii="Times New Roman" w:hAnsi="Times New Roman"/>
                <w:sz w:val="21"/>
                <w:szCs w:val="21"/>
                <w:lang w:val="en-US"/>
              </w:rPr>
              <w:t>hapura</w:t>
            </w:r>
            <w:proofErr w:type="spellEnd"/>
            <w:r w:rsidRPr="00EC036A">
              <w:rPr>
                <w:rFonts w:ascii="Times New Roman" w:hAnsi="Times New Roman"/>
                <w:sz w:val="21"/>
                <w:szCs w:val="21"/>
                <w:lang w:val="en-US"/>
              </w:rPr>
              <w:t>.</w:t>
            </w:r>
          </w:p>
          <w:p w14:paraId="3E70E12B" w14:textId="3819E284" w:rsidR="00424128" w:rsidRPr="00EC036A" w:rsidRDefault="00424128" w:rsidP="00424128">
            <w:pPr>
              <w:pStyle w:val="p1"/>
              <w:jc w:val="both"/>
              <w:rPr>
                <w:rStyle w:val="s1"/>
                <w:rFonts w:ascii="Times New Roman" w:hAnsi="Times New Roman"/>
                <w:sz w:val="21"/>
                <w:szCs w:val="21"/>
              </w:rPr>
            </w:pPr>
          </w:p>
        </w:tc>
        <w:tc>
          <w:tcPr>
            <w:tcW w:w="1260" w:type="dxa"/>
          </w:tcPr>
          <w:p w14:paraId="0B7B08B0" w14:textId="6CAFBE6D" w:rsidR="00424128" w:rsidRPr="00EC036A" w:rsidRDefault="00424128" w:rsidP="00CB3628">
            <w:pPr>
              <w:rPr>
                <w:rFonts w:ascii="Times New Roman" w:eastAsia="Calibri" w:hAnsi="Times New Roman" w:cs="Times New Roman"/>
                <w:b/>
                <w:sz w:val="21"/>
                <w:szCs w:val="21"/>
              </w:rPr>
            </w:pPr>
            <w:r w:rsidRPr="00EC036A">
              <w:rPr>
                <w:rFonts w:ascii="Times New Roman" w:eastAsia="Calibri" w:hAnsi="Times New Roman" w:cs="Times New Roman"/>
                <w:b/>
                <w:sz w:val="21"/>
                <w:szCs w:val="21"/>
              </w:rPr>
              <w:t>Miftar Miftari</w:t>
            </w:r>
            <w:r w:rsidR="00D73E62" w:rsidRPr="00EC036A">
              <w:rPr>
                <w:rFonts w:ascii="Times New Roman" w:eastAsia="Calibri" w:hAnsi="Times New Roman" w:cs="Times New Roman"/>
                <w:b/>
                <w:sz w:val="21"/>
                <w:szCs w:val="21"/>
              </w:rPr>
              <w:t xml:space="preserve"> – IT Komuna Shtime</w:t>
            </w:r>
          </w:p>
        </w:tc>
        <w:tc>
          <w:tcPr>
            <w:tcW w:w="1505" w:type="dxa"/>
          </w:tcPr>
          <w:p w14:paraId="0A090828" w14:textId="0B5207A8" w:rsidR="00424128" w:rsidRPr="00EC036A" w:rsidRDefault="00A85095" w:rsidP="00CB3628">
            <w:pPr>
              <w:rPr>
                <w:rFonts w:ascii="Times New Roman" w:eastAsia="Calibri" w:hAnsi="Times New Roman" w:cs="Times New Roman"/>
                <w:b/>
                <w:sz w:val="21"/>
                <w:szCs w:val="21"/>
              </w:rPr>
            </w:pPr>
            <w:r w:rsidRPr="00EC036A">
              <w:rPr>
                <w:rFonts w:ascii="Times New Roman" w:eastAsia="Calibri" w:hAnsi="Times New Roman" w:cs="Times New Roman"/>
                <w:b/>
                <w:sz w:val="21"/>
                <w:szCs w:val="21"/>
              </w:rPr>
              <w:t>I</w:t>
            </w:r>
            <w:r w:rsidR="00F0060F" w:rsidRPr="00EC036A">
              <w:rPr>
                <w:rFonts w:ascii="Times New Roman" w:eastAsia="Calibri" w:hAnsi="Times New Roman" w:cs="Times New Roman"/>
                <w:b/>
                <w:sz w:val="21"/>
                <w:szCs w:val="21"/>
              </w:rPr>
              <w:t xml:space="preserve"> pranuar,</w:t>
            </w:r>
            <w:r w:rsidRPr="00EC036A">
              <w:rPr>
                <w:rFonts w:ascii="Times New Roman" w:eastAsia="Calibri" w:hAnsi="Times New Roman" w:cs="Times New Roman"/>
                <w:b/>
                <w:sz w:val="21"/>
                <w:szCs w:val="21"/>
              </w:rPr>
              <w:t xml:space="preserve"> pjesërisht</w:t>
            </w:r>
          </w:p>
        </w:tc>
        <w:tc>
          <w:tcPr>
            <w:tcW w:w="4349" w:type="dxa"/>
          </w:tcPr>
          <w:p w14:paraId="5B6E767F" w14:textId="77777777" w:rsidR="004B500F" w:rsidRPr="00EC036A" w:rsidRDefault="004B500F" w:rsidP="00EC036A">
            <w:pPr>
              <w:jc w:val="both"/>
              <w:rPr>
                <w:rFonts w:ascii="Times New Roman" w:eastAsia="Calibri" w:hAnsi="Times New Roman" w:cs="Times New Roman"/>
                <w:sz w:val="21"/>
                <w:szCs w:val="21"/>
              </w:rPr>
            </w:pPr>
            <w:r w:rsidRPr="00EC036A">
              <w:rPr>
                <w:rFonts w:ascii="Times New Roman" w:eastAsia="Calibri" w:hAnsi="Times New Roman" w:cs="Times New Roman"/>
                <w:sz w:val="21"/>
                <w:szCs w:val="21"/>
              </w:rPr>
              <w:t>Vlerësohet rëndësia e përcaktimit të indikatorëve të matshëm të performancës (KPI) për monitorimin dhe vlerësimin e zbatimit të zotimeve. Megjithatë, duke pasur parasysh strukturën e Planit Kombëtar të Veprimit 2026–2028, indikatorët e detajuar nuk janë pjesë e këtij dokumenti strategjik.</w:t>
            </w:r>
          </w:p>
          <w:p w14:paraId="37C4D076" w14:textId="77777777" w:rsidR="004B500F" w:rsidRPr="00EC036A" w:rsidRDefault="004B500F" w:rsidP="00EC036A">
            <w:pPr>
              <w:jc w:val="both"/>
              <w:rPr>
                <w:rFonts w:ascii="Times New Roman" w:eastAsia="Calibri" w:hAnsi="Times New Roman" w:cs="Times New Roman"/>
                <w:sz w:val="21"/>
                <w:szCs w:val="21"/>
              </w:rPr>
            </w:pPr>
            <w:r w:rsidRPr="00EC036A">
              <w:rPr>
                <w:rFonts w:ascii="Times New Roman" w:eastAsia="Calibri" w:hAnsi="Times New Roman" w:cs="Times New Roman"/>
                <w:sz w:val="21"/>
                <w:szCs w:val="21"/>
              </w:rPr>
              <w:t>•</w:t>
            </w:r>
            <w:r w:rsidRPr="00EC036A">
              <w:rPr>
                <w:rFonts w:ascii="Times New Roman" w:eastAsia="Calibri" w:hAnsi="Times New Roman" w:cs="Times New Roman"/>
                <w:sz w:val="21"/>
                <w:szCs w:val="21"/>
              </w:rPr>
              <w:tab/>
              <w:t xml:space="preserve">Indikatorët për secilin zotim do të përcaktohen dhe </w:t>
            </w:r>
            <w:proofErr w:type="spellStart"/>
            <w:r w:rsidRPr="00EC036A">
              <w:rPr>
                <w:rFonts w:ascii="Times New Roman" w:eastAsia="Calibri" w:hAnsi="Times New Roman" w:cs="Times New Roman"/>
                <w:sz w:val="21"/>
                <w:szCs w:val="21"/>
              </w:rPr>
              <w:t>operacionalizohen</w:t>
            </w:r>
            <w:proofErr w:type="spellEnd"/>
            <w:r w:rsidRPr="00EC036A">
              <w:rPr>
                <w:rFonts w:ascii="Times New Roman" w:eastAsia="Calibri" w:hAnsi="Times New Roman" w:cs="Times New Roman"/>
                <w:sz w:val="21"/>
                <w:szCs w:val="21"/>
              </w:rPr>
              <w:t xml:space="preserve"> në kuadër të Planit të Zbatimit, i cili do të hartohet pas miratimit të Planit të Veprimit, në përputhje me kërkesat e </w:t>
            </w:r>
            <w:proofErr w:type="spellStart"/>
            <w:r w:rsidRPr="00EC036A">
              <w:rPr>
                <w:rFonts w:ascii="Times New Roman" w:eastAsia="Calibri" w:hAnsi="Times New Roman" w:cs="Times New Roman"/>
                <w:sz w:val="21"/>
                <w:szCs w:val="21"/>
              </w:rPr>
              <w:t>Open</w:t>
            </w:r>
            <w:proofErr w:type="spellEnd"/>
            <w:r w:rsidRPr="00EC036A">
              <w:rPr>
                <w:rFonts w:ascii="Times New Roman" w:eastAsia="Calibri" w:hAnsi="Times New Roman" w:cs="Times New Roman"/>
                <w:sz w:val="21"/>
                <w:szCs w:val="21"/>
              </w:rPr>
              <w:t xml:space="preserve"> </w:t>
            </w:r>
            <w:proofErr w:type="spellStart"/>
            <w:r w:rsidRPr="00EC036A">
              <w:rPr>
                <w:rFonts w:ascii="Times New Roman" w:eastAsia="Calibri" w:hAnsi="Times New Roman" w:cs="Times New Roman"/>
                <w:sz w:val="21"/>
                <w:szCs w:val="21"/>
              </w:rPr>
              <w:t>Government</w:t>
            </w:r>
            <w:proofErr w:type="spellEnd"/>
            <w:r w:rsidRPr="00EC036A">
              <w:rPr>
                <w:rFonts w:ascii="Times New Roman" w:eastAsia="Calibri" w:hAnsi="Times New Roman" w:cs="Times New Roman"/>
                <w:sz w:val="21"/>
                <w:szCs w:val="21"/>
              </w:rPr>
              <w:t xml:space="preserve"> </w:t>
            </w:r>
            <w:proofErr w:type="spellStart"/>
            <w:r w:rsidRPr="00EC036A">
              <w:rPr>
                <w:rFonts w:ascii="Times New Roman" w:eastAsia="Calibri" w:hAnsi="Times New Roman" w:cs="Times New Roman"/>
                <w:sz w:val="21"/>
                <w:szCs w:val="21"/>
              </w:rPr>
              <w:t>Partnership</w:t>
            </w:r>
            <w:proofErr w:type="spellEnd"/>
            <w:r w:rsidRPr="00EC036A">
              <w:rPr>
                <w:rFonts w:ascii="Times New Roman" w:eastAsia="Calibri" w:hAnsi="Times New Roman" w:cs="Times New Roman"/>
                <w:sz w:val="21"/>
                <w:szCs w:val="21"/>
              </w:rPr>
              <w:t xml:space="preserve"> dhe praktikat e Mekanizmit të Pavarur të Raportimit (IRM).</w:t>
            </w:r>
          </w:p>
          <w:p w14:paraId="27404E6F" w14:textId="77777777" w:rsidR="00E22A47" w:rsidRDefault="00E22A47" w:rsidP="00EC036A">
            <w:pPr>
              <w:jc w:val="both"/>
              <w:rPr>
                <w:rFonts w:ascii="Times New Roman" w:eastAsia="Calibri" w:hAnsi="Times New Roman" w:cs="Times New Roman"/>
                <w:sz w:val="21"/>
                <w:szCs w:val="21"/>
              </w:rPr>
            </w:pPr>
          </w:p>
          <w:p w14:paraId="4313DA1C" w14:textId="1E045512" w:rsidR="004B500F" w:rsidRPr="00EC036A" w:rsidRDefault="004B500F" w:rsidP="00EC036A">
            <w:pPr>
              <w:jc w:val="both"/>
              <w:rPr>
                <w:rFonts w:ascii="Times New Roman" w:eastAsia="Calibri" w:hAnsi="Times New Roman" w:cs="Times New Roman"/>
                <w:sz w:val="21"/>
                <w:szCs w:val="21"/>
              </w:rPr>
            </w:pPr>
            <w:r w:rsidRPr="00EC036A">
              <w:rPr>
                <w:rFonts w:ascii="Times New Roman" w:eastAsia="Calibri" w:hAnsi="Times New Roman" w:cs="Times New Roman"/>
                <w:sz w:val="21"/>
                <w:szCs w:val="21"/>
              </w:rPr>
              <w:t>Ky plan do të përfshijë:</w:t>
            </w:r>
          </w:p>
          <w:p w14:paraId="6BA33817" w14:textId="77777777" w:rsidR="004B500F" w:rsidRPr="00EC036A" w:rsidRDefault="004B500F" w:rsidP="00EC036A">
            <w:pPr>
              <w:jc w:val="both"/>
              <w:rPr>
                <w:rFonts w:ascii="Times New Roman" w:eastAsia="Calibri" w:hAnsi="Times New Roman" w:cs="Times New Roman"/>
                <w:sz w:val="21"/>
                <w:szCs w:val="21"/>
              </w:rPr>
            </w:pPr>
            <w:r w:rsidRPr="00EC036A">
              <w:rPr>
                <w:rFonts w:ascii="Times New Roman" w:eastAsia="Calibri" w:hAnsi="Times New Roman" w:cs="Times New Roman"/>
                <w:sz w:val="21"/>
                <w:szCs w:val="21"/>
              </w:rPr>
              <w:t>•</w:t>
            </w:r>
            <w:r w:rsidRPr="00EC036A">
              <w:rPr>
                <w:rFonts w:ascii="Times New Roman" w:eastAsia="Calibri" w:hAnsi="Times New Roman" w:cs="Times New Roman"/>
                <w:sz w:val="21"/>
                <w:szCs w:val="21"/>
              </w:rPr>
              <w:tab/>
              <w:t xml:space="preserve">indikatorë specifikë për secilin zotim </w:t>
            </w:r>
          </w:p>
          <w:p w14:paraId="6FABB4FA" w14:textId="77777777" w:rsidR="004B500F" w:rsidRPr="00EC036A" w:rsidRDefault="004B500F" w:rsidP="00EC036A">
            <w:pPr>
              <w:jc w:val="both"/>
              <w:rPr>
                <w:rFonts w:ascii="Times New Roman" w:eastAsia="Calibri" w:hAnsi="Times New Roman" w:cs="Times New Roman"/>
                <w:sz w:val="21"/>
                <w:szCs w:val="21"/>
              </w:rPr>
            </w:pPr>
            <w:r w:rsidRPr="00EC036A">
              <w:rPr>
                <w:rFonts w:ascii="Times New Roman" w:eastAsia="Calibri" w:hAnsi="Times New Roman" w:cs="Times New Roman"/>
                <w:sz w:val="21"/>
                <w:szCs w:val="21"/>
              </w:rPr>
              <w:t>•</w:t>
            </w:r>
            <w:r w:rsidRPr="00EC036A">
              <w:rPr>
                <w:rFonts w:ascii="Times New Roman" w:eastAsia="Calibri" w:hAnsi="Times New Roman" w:cs="Times New Roman"/>
                <w:sz w:val="21"/>
                <w:szCs w:val="21"/>
              </w:rPr>
              <w:tab/>
            </w:r>
            <w:proofErr w:type="spellStart"/>
            <w:r w:rsidRPr="00EC036A">
              <w:rPr>
                <w:rFonts w:ascii="Times New Roman" w:eastAsia="Calibri" w:hAnsi="Times New Roman" w:cs="Times New Roman"/>
                <w:sz w:val="21"/>
                <w:szCs w:val="21"/>
              </w:rPr>
              <w:t>baseline</w:t>
            </w:r>
            <w:proofErr w:type="spellEnd"/>
            <w:r w:rsidRPr="00EC036A">
              <w:rPr>
                <w:rFonts w:ascii="Times New Roman" w:eastAsia="Calibri" w:hAnsi="Times New Roman" w:cs="Times New Roman"/>
                <w:sz w:val="21"/>
                <w:szCs w:val="21"/>
              </w:rPr>
              <w:t xml:space="preserve"> dhe </w:t>
            </w:r>
            <w:proofErr w:type="spellStart"/>
            <w:r w:rsidRPr="00EC036A">
              <w:rPr>
                <w:rFonts w:ascii="Times New Roman" w:eastAsia="Calibri" w:hAnsi="Times New Roman" w:cs="Times New Roman"/>
                <w:sz w:val="21"/>
                <w:szCs w:val="21"/>
              </w:rPr>
              <w:t>targete</w:t>
            </w:r>
            <w:proofErr w:type="spellEnd"/>
            <w:r w:rsidRPr="00EC036A">
              <w:rPr>
                <w:rFonts w:ascii="Times New Roman" w:eastAsia="Calibri" w:hAnsi="Times New Roman" w:cs="Times New Roman"/>
                <w:sz w:val="21"/>
                <w:szCs w:val="21"/>
              </w:rPr>
              <w:t xml:space="preserve"> të matshme </w:t>
            </w:r>
          </w:p>
          <w:p w14:paraId="294AC6F2" w14:textId="77777777" w:rsidR="004B500F" w:rsidRPr="00EC036A" w:rsidRDefault="004B500F" w:rsidP="00EC036A">
            <w:pPr>
              <w:jc w:val="both"/>
              <w:rPr>
                <w:rFonts w:ascii="Times New Roman" w:eastAsia="Calibri" w:hAnsi="Times New Roman" w:cs="Times New Roman"/>
                <w:sz w:val="21"/>
                <w:szCs w:val="21"/>
              </w:rPr>
            </w:pPr>
            <w:r w:rsidRPr="00EC036A">
              <w:rPr>
                <w:rFonts w:ascii="Times New Roman" w:eastAsia="Calibri" w:hAnsi="Times New Roman" w:cs="Times New Roman"/>
                <w:sz w:val="21"/>
                <w:szCs w:val="21"/>
              </w:rPr>
              <w:t>•</w:t>
            </w:r>
            <w:r w:rsidRPr="00EC036A">
              <w:rPr>
                <w:rFonts w:ascii="Times New Roman" w:eastAsia="Calibri" w:hAnsi="Times New Roman" w:cs="Times New Roman"/>
                <w:sz w:val="21"/>
                <w:szCs w:val="21"/>
              </w:rPr>
              <w:tab/>
              <w:t xml:space="preserve">afate kohore për raportim </w:t>
            </w:r>
          </w:p>
          <w:p w14:paraId="34BEE996" w14:textId="77777777" w:rsidR="004B500F" w:rsidRPr="00EC036A" w:rsidRDefault="004B500F" w:rsidP="005377A5">
            <w:pPr>
              <w:rPr>
                <w:rFonts w:ascii="Times New Roman" w:eastAsia="Calibri" w:hAnsi="Times New Roman" w:cs="Times New Roman"/>
                <w:sz w:val="21"/>
                <w:szCs w:val="21"/>
              </w:rPr>
            </w:pPr>
            <w:r w:rsidRPr="00EC036A">
              <w:rPr>
                <w:rFonts w:ascii="Times New Roman" w:eastAsia="Calibri" w:hAnsi="Times New Roman" w:cs="Times New Roman"/>
                <w:sz w:val="21"/>
                <w:szCs w:val="21"/>
              </w:rPr>
              <w:t>•</w:t>
            </w:r>
            <w:r w:rsidRPr="00EC036A">
              <w:rPr>
                <w:rFonts w:ascii="Times New Roman" w:eastAsia="Calibri" w:hAnsi="Times New Roman" w:cs="Times New Roman"/>
                <w:sz w:val="21"/>
                <w:szCs w:val="21"/>
              </w:rPr>
              <w:tab/>
              <w:t xml:space="preserve">institucione përgjegjëse për implementim dhe monitorim </w:t>
            </w:r>
          </w:p>
          <w:p w14:paraId="1B13F7C3" w14:textId="77777777" w:rsidR="004B500F" w:rsidRPr="00EC036A" w:rsidRDefault="004B500F" w:rsidP="00EC036A">
            <w:pPr>
              <w:jc w:val="both"/>
              <w:rPr>
                <w:rFonts w:ascii="Times New Roman" w:eastAsia="Calibri" w:hAnsi="Times New Roman" w:cs="Times New Roman"/>
                <w:sz w:val="21"/>
                <w:szCs w:val="21"/>
              </w:rPr>
            </w:pPr>
          </w:p>
          <w:p w14:paraId="6814A644" w14:textId="002E04F0" w:rsidR="004B500F" w:rsidRPr="00EC036A" w:rsidRDefault="004B500F" w:rsidP="00EC036A">
            <w:pPr>
              <w:jc w:val="both"/>
              <w:rPr>
                <w:rFonts w:ascii="Times New Roman" w:eastAsia="Calibri" w:hAnsi="Times New Roman" w:cs="Times New Roman"/>
                <w:sz w:val="21"/>
                <w:szCs w:val="21"/>
              </w:rPr>
            </w:pPr>
            <w:r w:rsidRPr="00EC036A">
              <w:rPr>
                <w:rFonts w:ascii="Times New Roman" w:eastAsia="Calibri" w:hAnsi="Times New Roman" w:cs="Times New Roman"/>
                <w:sz w:val="21"/>
                <w:szCs w:val="21"/>
              </w:rPr>
              <w:t>Statusi:</w:t>
            </w:r>
          </w:p>
          <w:p w14:paraId="178A8D32" w14:textId="3027EE01" w:rsidR="00424128" w:rsidRPr="00EC036A" w:rsidRDefault="004B500F" w:rsidP="00EC036A">
            <w:pPr>
              <w:jc w:val="both"/>
              <w:rPr>
                <w:rFonts w:ascii="Times New Roman" w:eastAsia="Calibri" w:hAnsi="Times New Roman" w:cs="Times New Roman"/>
                <w:sz w:val="21"/>
                <w:szCs w:val="21"/>
              </w:rPr>
            </w:pPr>
            <w:r w:rsidRPr="00EC036A">
              <w:rPr>
                <w:rFonts w:ascii="Times New Roman" w:eastAsia="Calibri" w:hAnsi="Times New Roman" w:cs="Times New Roman"/>
                <w:sz w:val="21"/>
                <w:szCs w:val="21"/>
              </w:rPr>
              <w:t>Do të adresohet në Planin e Zbatimit 2026-2028</w:t>
            </w:r>
          </w:p>
        </w:tc>
      </w:tr>
      <w:tr w:rsidR="009A030C" w:rsidRPr="00621CF2" w14:paraId="1235E188" w14:textId="77777777" w:rsidTr="00E22A47">
        <w:trPr>
          <w:trHeight w:val="2690"/>
        </w:trPr>
        <w:tc>
          <w:tcPr>
            <w:tcW w:w="2065" w:type="dxa"/>
          </w:tcPr>
          <w:p w14:paraId="0C83D418" w14:textId="47ED0630" w:rsidR="009A030C" w:rsidRPr="00EC036A" w:rsidRDefault="009A030C" w:rsidP="00CB3628">
            <w:pPr>
              <w:pStyle w:val="p1"/>
              <w:rPr>
                <w:rStyle w:val="s1"/>
                <w:rFonts w:ascii="Times New Roman" w:hAnsi="Times New Roman"/>
                <w:b/>
                <w:sz w:val="21"/>
                <w:szCs w:val="21"/>
              </w:rPr>
            </w:pPr>
          </w:p>
        </w:tc>
        <w:tc>
          <w:tcPr>
            <w:tcW w:w="5490" w:type="dxa"/>
          </w:tcPr>
          <w:p w14:paraId="1944EBE0" w14:textId="7D32FCF4" w:rsidR="003C165B" w:rsidRPr="00EC036A" w:rsidRDefault="0000195A" w:rsidP="003C165B">
            <w:pPr>
              <w:pStyle w:val="p1"/>
              <w:jc w:val="both"/>
              <w:rPr>
                <w:rFonts w:ascii="Times New Roman" w:hAnsi="Times New Roman"/>
                <w:sz w:val="21"/>
                <w:szCs w:val="21"/>
              </w:rPr>
            </w:pPr>
            <w:r w:rsidRPr="00EC036A">
              <w:rPr>
                <w:rFonts w:ascii="Times New Roman" w:hAnsi="Times New Roman"/>
                <w:sz w:val="21"/>
                <w:szCs w:val="21"/>
              </w:rPr>
              <w:t>Rekomandohet</w:t>
            </w:r>
            <w:r w:rsidR="00072E6A" w:rsidRPr="00EC036A">
              <w:rPr>
                <w:rFonts w:ascii="Times New Roman" w:hAnsi="Times New Roman"/>
                <w:sz w:val="21"/>
                <w:szCs w:val="21"/>
              </w:rPr>
              <w:t xml:space="preserve"> tek</w:t>
            </w:r>
            <w:r w:rsidRPr="00EC036A">
              <w:rPr>
                <w:rFonts w:ascii="Times New Roman" w:hAnsi="Times New Roman"/>
                <w:sz w:val="21"/>
                <w:szCs w:val="21"/>
              </w:rPr>
              <w:t xml:space="preserve"> m</w:t>
            </w:r>
            <w:r w:rsidR="003C165B" w:rsidRPr="00EC036A">
              <w:rPr>
                <w:rFonts w:ascii="Times New Roman" w:hAnsi="Times New Roman"/>
                <w:sz w:val="21"/>
                <w:szCs w:val="21"/>
              </w:rPr>
              <w:t>onitorimi digjital i projekteve komunale</w:t>
            </w:r>
          </w:p>
          <w:p w14:paraId="22CB32EA" w14:textId="77777777" w:rsidR="00CD6B36" w:rsidRPr="00EC036A" w:rsidRDefault="00CD6B36" w:rsidP="003C165B">
            <w:pPr>
              <w:pStyle w:val="p1"/>
              <w:jc w:val="both"/>
              <w:rPr>
                <w:rFonts w:ascii="Times New Roman" w:hAnsi="Times New Roman"/>
                <w:sz w:val="21"/>
                <w:szCs w:val="21"/>
              </w:rPr>
            </w:pPr>
          </w:p>
          <w:p w14:paraId="0419B4DD" w14:textId="39453C3C" w:rsidR="003C165B" w:rsidRPr="00EC036A" w:rsidRDefault="00CD6B36" w:rsidP="003C165B">
            <w:pPr>
              <w:pStyle w:val="p1"/>
              <w:jc w:val="both"/>
              <w:rPr>
                <w:rFonts w:ascii="Times New Roman" w:hAnsi="Times New Roman"/>
                <w:sz w:val="21"/>
                <w:szCs w:val="21"/>
              </w:rPr>
            </w:pPr>
            <w:r w:rsidRPr="00EC036A">
              <w:rPr>
                <w:rFonts w:ascii="Times New Roman" w:hAnsi="Times New Roman"/>
                <w:sz w:val="21"/>
                <w:szCs w:val="21"/>
              </w:rPr>
              <w:t>Rekomandohet</w:t>
            </w:r>
            <w:r w:rsidR="00BA04AB" w:rsidRPr="00EC036A">
              <w:rPr>
                <w:rFonts w:ascii="Times New Roman" w:hAnsi="Times New Roman"/>
                <w:sz w:val="21"/>
                <w:szCs w:val="21"/>
              </w:rPr>
              <w:t xml:space="preserve"> </w:t>
            </w:r>
            <w:r w:rsidR="003C165B" w:rsidRPr="00EC036A">
              <w:rPr>
                <w:rFonts w:ascii="Times New Roman" w:hAnsi="Times New Roman"/>
                <w:sz w:val="21"/>
                <w:szCs w:val="21"/>
              </w:rPr>
              <w:t>krijimi i një paneli publik për monitorimin e projekteve komunale në kuadër të platformës E‑Komuna. Ky panel do të mundësonte transparencë më të madhe dhe mbikëqyrje nga qytetarët.</w:t>
            </w:r>
          </w:p>
          <w:p w14:paraId="693C3682" w14:textId="6B134CC1" w:rsidR="003C165B" w:rsidRPr="00EC036A" w:rsidRDefault="003C165B" w:rsidP="003C165B">
            <w:pPr>
              <w:pStyle w:val="p1"/>
              <w:jc w:val="both"/>
              <w:rPr>
                <w:rFonts w:ascii="Times New Roman" w:hAnsi="Times New Roman"/>
                <w:sz w:val="21"/>
                <w:szCs w:val="21"/>
              </w:rPr>
            </w:pPr>
            <w:r w:rsidRPr="00EC036A">
              <w:rPr>
                <w:rFonts w:ascii="Times New Roman" w:hAnsi="Times New Roman"/>
                <w:sz w:val="21"/>
                <w:szCs w:val="21"/>
              </w:rPr>
              <w:t>Paneli mund të përfshijë:</w:t>
            </w:r>
          </w:p>
          <w:p w14:paraId="46040A38" w14:textId="5E7488D7" w:rsidR="003C165B" w:rsidRPr="00EC036A" w:rsidRDefault="003C165B" w:rsidP="00EC036A">
            <w:pPr>
              <w:pStyle w:val="p1"/>
              <w:numPr>
                <w:ilvl w:val="0"/>
                <w:numId w:val="12"/>
              </w:numPr>
              <w:jc w:val="both"/>
              <w:rPr>
                <w:rFonts w:ascii="Times New Roman" w:hAnsi="Times New Roman"/>
                <w:sz w:val="21"/>
                <w:szCs w:val="21"/>
              </w:rPr>
            </w:pPr>
            <w:r w:rsidRPr="00EC036A">
              <w:rPr>
                <w:rFonts w:ascii="Times New Roman" w:hAnsi="Times New Roman"/>
                <w:sz w:val="21"/>
                <w:szCs w:val="21"/>
              </w:rPr>
              <w:t>Listën e projekteve kapitale komunale.</w:t>
            </w:r>
          </w:p>
          <w:p w14:paraId="2408DCE3" w14:textId="76A45305" w:rsidR="003C165B" w:rsidRPr="00EC036A" w:rsidRDefault="003C165B" w:rsidP="00EC036A">
            <w:pPr>
              <w:pStyle w:val="p1"/>
              <w:numPr>
                <w:ilvl w:val="0"/>
                <w:numId w:val="12"/>
              </w:numPr>
              <w:jc w:val="both"/>
              <w:rPr>
                <w:rFonts w:ascii="Times New Roman" w:hAnsi="Times New Roman"/>
                <w:sz w:val="21"/>
                <w:szCs w:val="21"/>
              </w:rPr>
            </w:pPr>
            <w:r w:rsidRPr="00EC036A">
              <w:rPr>
                <w:rFonts w:ascii="Times New Roman" w:hAnsi="Times New Roman"/>
                <w:sz w:val="21"/>
                <w:szCs w:val="21"/>
              </w:rPr>
              <w:t>Progresin e realizimit të projekteve.</w:t>
            </w:r>
          </w:p>
          <w:p w14:paraId="386C519E" w14:textId="335A9817" w:rsidR="009A030C" w:rsidRPr="00EC036A" w:rsidRDefault="003C165B" w:rsidP="00EC036A">
            <w:pPr>
              <w:pStyle w:val="p1"/>
              <w:numPr>
                <w:ilvl w:val="0"/>
                <w:numId w:val="12"/>
              </w:numPr>
              <w:jc w:val="both"/>
              <w:rPr>
                <w:rFonts w:ascii="Times New Roman" w:hAnsi="Times New Roman"/>
                <w:sz w:val="21"/>
                <w:szCs w:val="21"/>
              </w:rPr>
            </w:pPr>
            <w:r w:rsidRPr="00EC036A">
              <w:rPr>
                <w:rFonts w:ascii="Times New Roman" w:hAnsi="Times New Roman"/>
                <w:sz w:val="21"/>
                <w:szCs w:val="21"/>
              </w:rPr>
              <w:t>Buxhetin e planifikuar dhe të shpenzuar.</w:t>
            </w:r>
          </w:p>
        </w:tc>
        <w:tc>
          <w:tcPr>
            <w:tcW w:w="1260" w:type="dxa"/>
          </w:tcPr>
          <w:p w14:paraId="2E83FD61" w14:textId="0B252CB7" w:rsidR="009A030C" w:rsidRPr="00EC036A" w:rsidRDefault="003C165B" w:rsidP="00CB3628">
            <w:pPr>
              <w:rPr>
                <w:rFonts w:ascii="Times New Roman" w:eastAsia="Calibri" w:hAnsi="Times New Roman" w:cs="Times New Roman"/>
                <w:b/>
                <w:sz w:val="21"/>
                <w:szCs w:val="21"/>
              </w:rPr>
            </w:pPr>
            <w:r w:rsidRPr="00EC036A">
              <w:rPr>
                <w:rFonts w:ascii="Times New Roman" w:eastAsia="Calibri" w:hAnsi="Times New Roman" w:cs="Times New Roman"/>
                <w:b/>
                <w:sz w:val="21"/>
                <w:szCs w:val="21"/>
              </w:rPr>
              <w:t>Miftar Miftari – IT Komuna Shtime</w:t>
            </w:r>
          </w:p>
        </w:tc>
        <w:tc>
          <w:tcPr>
            <w:tcW w:w="1505" w:type="dxa"/>
          </w:tcPr>
          <w:p w14:paraId="189C4A0F" w14:textId="218C8F5B" w:rsidR="009A030C" w:rsidRPr="00EC036A" w:rsidRDefault="006C6A79" w:rsidP="00CB3628">
            <w:pPr>
              <w:rPr>
                <w:rFonts w:ascii="Times New Roman" w:eastAsia="Calibri" w:hAnsi="Times New Roman" w:cs="Times New Roman"/>
                <w:b/>
                <w:sz w:val="21"/>
                <w:szCs w:val="21"/>
              </w:rPr>
            </w:pPr>
            <w:r w:rsidRPr="00EC036A">
              <w:rPr>
                <w:rFonts w:ascii="Times New Roman" w:eastAsia="Calibri" w:hAnsi="Times New Roman" w:cs="Times New Roman"/>
                <w:b/>
                <w:sz w:val="21"/>
                <w:szCs w:val="21"/>
              </w:rPr>
              <w:t>I pranuar, pjesërisht</w:t>
            </w:r>
          </w:p>
        </w:tc>
        <w:tc>
          <w:tcPr>
            <w:tcW w:w="4349" w:type="dxa"/>
          </w:tcPr>
          <w:p w14:paraId="0B12A81E" w14:textId="77777777" w:rsidR="006C6A79" w:rsidRPr="00EC036A" w:rsidRDefault="006C6A79" w:rsidP="00EC036A">
            <w:pPr>
              <w:jc w:val="both"/>
              <w:rPr>
                <w:rFonts w:ascii="Times New Roman" w:eastAsia="Calibri" w:hAnsi="Times New Roman" w:cs="Times New Roman"/>
                <w:sz w:val="21"/>
                <w:szCs w:val="21"/>
              </w:rPr>
            </w:pPr>
            <w:r w:rsidRPr="00EC036A">
              <w:rPr>
                <w:rFonts w:ascii="Times New Roman" w:eastAsia="Calibri" w:hAnsi="Times New Roman" w:cs="Times New Roman"/>
                <w:sz w:val="21"/>
                <w:szCs w:val="21"/>
              </w:rPr>
              <w:t>Në kuadër të zhvillimit të mëtejmë të platformës e-Komuna (fazat e ardhshme të zhvillimit), është paraparë integrimi i moduleve shtesë që mundësojnë rritjen e transparencës së projekteve komunale. Krijimi i një paneli të dedikuar për monitorimin e projekteve kapitale do të shqyrtohet si pjesë e fazës së tretë të zhvillimit, në varësi të prioriteteve dhe burimeve buxhetore.</w:t>
            </w:r>
          </w:p>
          <w:p w14:paraId="65C84324" w14:textId="77777777" w:rsidR="006C6A79" w:rsidRPr="00EC036A" w:rsidRDefault="006C6A79" w:rsidP="00EC036A">
            <w:pPr>
              <w:jc w:val="both"/>
              <w:rPr>
                <w:rFonts w:ascii="Times New Roman" w:eastAsia="Calibri" w:hAnsi="Times New Roman" w:cs="Times New Roman"/>
                <w:sz w:val="21"/>
                <w:szCs w:val="21"/>
              </w:rPr>
            </w:pPr>
          </w:p>
          <w:p w14:paraId="66F1A774" w14:textId="386853BF" w:rsidR="006C6A79" w:rsidRPr="00EC036A" w:rsidRDefault="00645138" w:rsidP="00EC036A">
            <w:pPr>
              <w:jc w:val="both"/>
              <w:rPr>
                <w:rFonts w:ascii="Times New Roman" w:eastAsia="Calibri" w:hAnsi="Times New Roman" w:cs="Times New Roman"/>
                <w:sz w:val="21"/>
                <w:szCs w:val="21"/>
              </w:rPr>
            </w:pPr>
            <w:r w:rsidRPr="00EC036A">
              <w:rPr>
                <w:rFonts w:ascii="Times New Roman" w:eastAsia="Calibri" w:hAnsi="Times New Roman" w:cs="Times New Roman"/>
                <w:sz w:val="21"/>
                <w:szCs w:val="21"/>
              </w:rPr>
              <w:t>Statusi:</w:t>
            </w:r>
          </w:p>
          <w:p w14:paraId="3ED1D06E" w14:textId="02143B9A" w:rsidR="009A030C" w:rsidRPr="00EC036A" w:rsidRDefault="00EC036A" w:rsidP="00EC036A">
            <w:pPr>
              <w:jc w:val="both"/>
              <w:rPr>
                <w:rFonts w:ascii="Times New Roman" w:eastAsia="Calibri" w:hAnsi="Times New Roman" w:cs="Times New Roman"/>
                <w:sz w:val="21"/>
                <w:szCs w:val="21"/>
              </w:rPr>
            </w:pPr>
            <w:r w:rsidRPr="00EC036A">
              <w:rPr>
                <w:rFonts w:ascii="Times New Roman" w:eastAsia="Calibri" w:hAnsi="Times New Roman" w:cs="Times New Roman"/>
                <w:sz w:val="21"/>
                <w:szCs w:val="21"/>
              </w:rPr>
              <w:t xml:space="preserve">I </w:t>
            </w:r>
            <w:r w:rsidR="006C6A79" w:rsidRPr="00EC036A">
              <w:rPr>
                <w:rFonts w:ascii="Times New Roman" w:eastAsia="Calibri" w:hAnsi="Times New Roman" w:cs="Times New Roman"/>
                <w:sz w:val="21"/>
                <w:szCs w:val="21"/>
              </w:rPr>
              <w:t>planifikuar për fazat e ardhshme</w:t>
            </w:r>
          </w:p>
        </w:tc>
      </w:tr>
      <w:tr w:rsidR="00621CF2" w:rsidRPr="00621CF2" w14:paraId="7940016B" w14:textId="77777777" w:rsidTr="00E22A47">
        <w:trPr>
          <w:trHeight w:val="2994"/>
        </w:trPr>
        <w:tc>
          <w:tcPr>
            <w:tcW w:w="2065" w:type="dxa"/>
            <w:vMerge w:val="restart"/>
          </w:tcPr>
          <w:p w14:paraId="7C83237F" w14:textId="77777777" w:rsidR="00C937A3" w:rsidRPr="00EC036A" w:rsidRDefault="00C937A3" w:rsidP="00C937A3">
            <w:pPr>
              <w:pStyle w:val="p1"/>
              <w:rPr>
                <w:rStyle w:val="s1"/>
                <w:rFonts w:ascii="Times New Roman" w:hAnsi="Times New Roman"/>
                <w:sz w:val="21"/>
                <w:szCs w:val="21"/>
              </w:rPr>
            </w:pPr>
            <w:r w:rsidRPr="00EC036A">
              <w:rPr>
                <w:rStyle w:val="s1"/>
                <w:rFonts w:ascii="Times New Roman" w:hAnsi="Times New Roman"/>
                <w:b/>
                <w:sz w:val="21"/>
                <w:szCs w:val="21"/>
              </w:rPr>
              <w:t>Zotimi 1 :</w:t>
            </w:r>
            <w:r w:rsidRPr="00EC036A">
              <w:rPr>
                <w:rFonts w:ascii="Times New Roman" w:hAnsi="Times New Roman"/>
                <w:b/>
                <w:sz w:val="21"/>
                <w:szCs w:val="21"/>
              </w:rPr>
              <w:t xml:space="preserve"> Avancimi i transparencës dhe pjesëmarrjes qytetare përmes platformës E</w:t>
            </w:r>
            <w:r w:rsidRPr="00EC036A">
              <w:rPr>
                <w:rFonts w:ascii="Times New Roman" w:hAnsi="Times New Roman"/>
                <w:b/>
                <w:sz w:val="21"/>
                <w:szCs w:val="21"/>
              </w:rPr>
              <w:noBreakHyphen/>
              <w:t>Komuna</w:t>
            </w:r>
            <w:r w:rsidRPr="00EC036A">
              <w:rPr>
                <w:rStyle w:val="s1"/>
                <w:rFonts w:ascii="Times New Roman" w:hAnsi="Times New Roman"/>
                <w:sz w:val="21"/>
                <w:szCs w:val="21"/>
              </w:rPr>
              <w:br/>
            </w:r>
          </w:p>
          <w:p w14:paraId="79E944F0" w14:textId="77777777" w:rsidR="00C937A3" w:rsidRPr="00EC036A" w:rsidRDefault="00C937A3" w:rsidP="00C937A3">
            <w:pPr>
              <w:pStyle w:val="p1"/>
              <w:rPr>
                <w:rStyle w:val="s1"/>
                <w:rFonts w:ascii="Times New Roman" w:hAnsi="Times New Roman"/>
                <w:sz w:val="21"/>
                <w:szCs w:val="21"/>
              </w:rPr>
            </w:pPr>
          </w:p>
        </w:tc>
        <w:tc>
          <w:tcPr>
            <w:tcW w:w="5490" w:type="dxa"/>
            <w:tcBorders>
              <w:bottom w:val="single" w:sz="4" w:space="0" w:color="auto"/>
            </w:tcBorders>
          </w:tcPr>
          <w:p w14:paraId="23E723F4" w14:textId="629B17BC" w:rsidR="003C165B" w:rsidRPr="00EC036A" w:rsidRDefault="0000195A" w:rsidP="00EC036A">
            <w:pPr>
              <w:pStyle w:val="p1"/>
              <w:jc w:val="both"/>
              <w:rPr>
                <w:rStyle w:val="s1"/>
                <w:rFonts w:ascii="Times New Roman" w:hAnsi="Times New Roman"/>
                <w:sz w:val="21"/>
                <w:szCs w:val="21"/>
              </w:rPr>
            </w:pPr>
            <w:r w:rsidRPr="00EC036A">
              <w:rPr>
                <w:rStyle w:val="s1"/>
                <w:rFonts w:ascii="Times New Roman" w:hAnsi="Times New Roman"/>
                <w:sz w:val="21"/>
                <w:szCs w:val="21"/>
              </w:rPr>
              <w:t xml:space="preserve">Rekomandohet </w:t>
            </w:r>
            <w:r w:rsidR="00072E6A" w:rsidRPr="00EC036A">
              <w:rPr>
                <w:rStyle w:val="s1"/>
                <w:rFonts w:ascii="Times New Roman" w:hAnsi="Times New Roman"/>
                <w:sz w:val="21"/>
                <w:szCs w:val="21"/>
              </w:rPr>
              <w:t xml:space="preserve">tek </w:t>
            </w:r>
            <w:r w:rsidRPr="00EC036A">
              <w:rPr>
                <w:rStyle w:val="s1"/>
                <w:rFonts w:ascii="Times New Roman" w:hAnsi="Times New Roman"/>
                <w:sz w:val="21"/>
                <w:szCs w:val="21"/>
              </w:rPr>
              <w:t>r</w:t>
            </w:r>
            <w:r w:rsidR="003C165B" w:rsidRPr="00EC036A">
              <w:rPr>
                <w:rStyle w:val="s1"/>
                <w:rFonts w:ascii="Times New Roman" w:hAnsi="Times New Roman"/>
                <w:sz w:val="21"/>
                <w:szCs w:val="21"/>
              </w:rPr>
              <w:t>ritja e transparencës së buxhetit publik</w:t>
            </w:r>
          </w:p>
          <w:p w14:paraId="54BAF163" w14:textId="77777777" w:rsidR="00CD6B36" w:rsidRPr="00EC036A" w:rsidRDefault="00CD6B36" w:rsidP="00EC036A">
            <w:pPr>
              <w:pStyle w:val="p1"/>
              <w:jc w:val="both"/>
              <w:rPr>
                <w:rStyle w:val="s1"/>
                <w:rFonts w:ascii="Times New Roman" w:hAnsi="Times New Roman"/>
                <w:sz w:val="21"/>
                <w:szCs w:val="21"/>
              </w:rPr>
            </w:pPr>
          </w:p>
          <w:p w14:paraId="0506AFE4" w14:textId="755B156A" w:rsidR="00C937A3" w:rsidRPr="00EC036A" w:rsidRDefault="003C165B" w:rsidP="00EC036A">
            <w:pPr>
              <w:pStyle w:val="p1"/>
              <w:jc w:val="both"/>
              <w:rPr>
                <w:rStyle w:val="s1"/>
                <w:rFonts w:ascii="Times New Roman" w:hAnsi="Times New Roman"/>
                <w:sz w:val="21"/>
                <w:szCs w:val="21"/>
              </w:rPr>
            </w:pPr>
            <w:r w:rsidRPr="00EC036A">
              <w:rPr>
                <w:rStyle w:val="s1"/>
                <w:rFonts w:ascii="Times New Roman" w:hAnsi="Times New Roman"/>
                <w:sz w:val="21"/>
                <w:szCs w:val="21"/>
              </w:rPr>
              <w:t xml:space="preserve">Rekomandohet zhvillimi i një platforme </w:t>
            </w:r>
            <w:proofErr w:type="spellStart"/>
            <w:r w:rsidRPr="00EC036A">
              <w:rPr>
                <w:rStyle w:val="s1"/>
                <w:rFonts w:ascii="Times New Roman" w:hAnsi="Times New Roman"/>
                <w:sz w:val="21"/>
                <w:szCs w:val="21"/>
              </w:rPr>
              <w:t>interaktive</w:t>
            </w:r>
            <w:proofErr w:type="spellEnd"/>
            <w:r w:rsidRPr="00EC036A">
              <w:rPr>
                <w:rStyle w:val="s1"/>
                <w:rFonts w:ascii="Times New Roman" w:hAnsi="Times New Roman"/>
                <w:sz w:val="21"/>
                <w:szCs w:val="21"/>
              </w:rPr>
              <w:t xml:space="preserve"> për transparencën e buxhetit publik që paraqet në mënyrë të kuptueshme buxhetin e shtetit dhe shpenzimet publike.</w:t>
            </w:r>
          </w:p>
        </w:tc>
        <w:tc>
          <w:tcPr>
            <w:tcW w:w="1260" w:type="dxa"/>
            <w:tcBorders>
              <w:bottom w:val="single" w:sz="4" w:space="0" w:color="auto"/>
            </w:tcBorders>
          </w:tcPr>
          <w:p w14:paraId="6C966550" w14:textId="12769EDD" w:rsidR="00C937A3" w:rsidRPr="00EC036A" w:rsidRDefault="00D73E62" w:rsidP="00EC036A">
            <w:pPr>
              <w:jc w:val="both"/>
              <w:rPr>
                <w:rFonts w:ascii="Times New Roman" w:eastAsia="Calibri" w:hAnsi="Times New Roman" w:cs="Times New Roman"/>
                <w:b/>
                <w:sz w:val="21"/>
                <w:szCs w:val="21"/>
              </w:rPr>
            </w:pPr>
            <w:r w:rsidRPr="00EC036A">
              <w:rPr>
                <w:rFonts w:ascii="Times New Roman" w:eastAsia="Calibri" w:hAnsi="Times New Roman" w:cs="Times New Roman"/>
                <w:b/>
                <w:sz w:val="21"/>
                <w:szCs w:val="21"/>
              </w:rPr>
              <w:t>Miftar Miftari – IT Komuna Shtime</w:t>
            </w:r>
          </w:p>
        </w:tc>
        <w:tc>
          <w:tcPr>
            <w:tcW w:w="1505" w:type="dxa"/>
            <w:tcBorders>
              <w:bottom w:val="single" w:sz="4" w:space="0" w:color="auto"/>
            </w:tcBorders>
          </w:tcPr>
          <w:p w14:paraId="60B9A3B3" w14:textId="238E2D25" w:rsidR="00C937A3" w:rsidRPr="00EC036A" w:rsidRDefault="006C6A79" w:rsidP="00EC036A">
            <w:pPr>
              <w:jc w:val="both"/>
              <w:rPr>
                <w:rFonts w:ascii="Times New Roman" w:eastAsia="Calibri" w:hAnsi="Times New Roman" w:cs="Times New Roman"/>
                <w:b/>
                <w:sz w:val="21"/>
                <w:szCs w:val="21"/>
              </w:rPr>
            </w:pPr>
            <w:r w:rsidRPr="00EC036A">
              <w:rPr>
                <w:rFonts w:ascii="Times New Roman" w:eastAsia="Calibri" w:hAnsi="Times New Roman" w:cs="Times New Roman"/>
                <w:b/>
                <w:sz w:val="21"/>
                <w:szCs w:val="21"/>
              </w:rPr>
              <w:t>I pranuar, pjesërisht</w:t>
            </w:r>
          </w:p>
        </w:tc>
        <w:tc>
          <w:tcPr>
            <w:tcW w:w="4349" w:type="dxa"/>
            <w:tcBorders>
              <w:bottom w:val="single" w:sz="4" w:space="0" w:color="auto"/>
            </w:tcBorders>
          </w:tcPr>
          <w:p w14:paraId="4EE3A26F" w14:textId="77777777" w:rsidR="00C8513C" w:rsidRPr="00EC036A" w:rsidRDefault="00C8513C" w:rsidP="00EC036A">
            <w:pPr>
              <w:jc w:val="both"/>
              <w:rPr>
                <w:rFonts w:ascii="Times New Roman" w:eastAsia="Calibri" w:hAnsi="Times New Roman" w:cs="Times New Roman"/>
                <w:sz w:val="21"/>
                <w:szCs w:val="21"/>
              </w:rPr>
            </w:pPr>
            <w:r w:rsidRPr="00EC036A">
              <w:rPr>
                <w:rFonts w:ascii="Times New Roman" w:eastAsia="Calibri" w:hAnsi="Times New Roman" w:cs="Times New Roman"/>
                <w:sz w:val="21"/>
                <w:szCs w:val="21"/>
              </w:rPr>
              <w:t xml:space="preserve">Transparenca buxhetore mbulohet në kuadër të institucioneve përgjegjëse, veçanërisht përmes iniciativave të Ministria e Financave, Punës dhe </w:t>
            </w:r>
            <w:proofErr w:type="spellStart"/>
            <w:r w:rsidRPr="00EC036A">
              <w:rPr>
                <w:rFonts w:ascii="Times New Roman" w:eastAsia="Calibri" w:hAnsi="Times New Roman" w:cs="Times New Roman"/>
                <w:sz w:val="21"/>
                <w:szCs w:val="21"/>
              </w:rPr>
              <w:t>Transfereve</w:t>
            </w:r>
            <w:proofErr w:type="spellEnd"/>
            <w:r w:rsidRPr="00EC036A">
              <w:rPr>
                <w:rFonts w:ascii="Times New Roman" w:eastAsia="Calibri" w:hAnsi="Times New Roman" w:cs="Times New Roman"/>
                <w:sz w:val="21"/>
                <w:szCs w:val="21"/>
              </w:rPr>
              <w:t xml:space="preserve">. Plani i Veprimit parasheh masa për rritjen e publikimit </w:t>
            </w:r>
            <w:proofErr w:type="spellStart"/>
            <w:r w:rsidRPr="00EC036A">
              <w:rPr>
                <w:rFonts w:ascii="Times New Roman" w:eastAsia="Calibri" w:hAnsi="Times New Roman" w:cs="Times New Roman"/>
                <w:sz w:val="21"/>
                <w:szCs w:val="21"/>
              </w:rPr>
              <w:t>proaktiv</w:t>
            </w:r>
            <w:proofErr w:type="spellEnd"/>
            <w:r w:rsidRPr="00EC036A">
              <w:rPr>
                <w:rFonts w:ascii="Times New Roman" w:eastAsia="Calibri" w:hAnsi="Times New Roman" w:cs="Times New Roman"/>
                <w:sz w:val="21"/>
                <w:szCs w:val="21"/>
              </w:rPr>
              <w:t xml:space="preserve"> të informatave financiare. Zhvillimi i një platforme të re </w:t>
            </w:r>
            <w:proofErr w:type="spellStart"/>
            <w:r w:rsidRPr="00EC036A">
              <w:rPr>
                <w:rFonts w:ascii="Times New Roman" w:eastAsia="Calibri" w:hAnsi="Times New Roman" w:cs="Times New Roman"/>
                <w:sz w:val="21"/>
                <w:szCs w:val="21"/>
              </w:rPr>
              <w:t>interaktive</w:t>
            </w:r>
            <w:proofErr w:type="spellEnd"/>
            <w:r w:rsidRPr="00EC036A">
              <w:rPr>
                <w:rFonts w:ascii="Times New Roman" w:eastAsia="Calibri" w:hAnsi="Times New Roman" w:cs="Times New Roman"/>
                <w:sz w:val="21"/>
                <w:szCs w:val="21"/>
              </w:rPr>
              <w:t xml:space="preserve"> do të kërkojë koordinim ndërinstitucional dhe burime shtesë, dhe do të shqyrtohet në fazat e mëtejme.</w:t>
            </w:r>
          </w:p>
          <w:p w14:paraId="05D430FF" w14:textId="77777777" w:rsidR="00645138" w:rsidRPr="00EC036A" w:rsidRDefault="00645138" w:rsidP="00EC036A">
            <w:pPr>
              <w:jc w:val="both"/>
              <w:rPr>
                <w:rFonts w:ascii="Times New Roman" w:eastAsia="Calibri" w:hAnsi="Times New Roman" w:cs="Times New Roman"/>
                <w:sz w:val="21"/>
                <w:szCs w:val="21"/>
              </w:rPr>
            </w:pPr>
          </w:p>
          <w:p w14:paraId="0DDB51E5" w14:textId="77777777" w:rsidR="00C8513C" w:rsidRPr="00EC036A" w:rsidRDefault="00C8513C" w:rsidP="00EC036A">
            <w:pPr>
              <w:jc w:val="both"/>
              <w:rPr>
                <w:rFonts w:ascii="Times New Roman" w:eastAsia="Calibri" w:hAnsi="Times New Roman" w:cs="Times New Roman"/>
                <w:sz w:val="21"/>
                <w:szCs w:val="21"/>
              </w:rPr>
            </w:pPr>
            <w:r w:rsidRPr="00EC036A">
              <w:rPr>
                <w:rFonts w:ascii="Times New Roman" w:eastAsia="Calibri" w:hAnsi="Times New Roman" w:cs="Times New Roman"/>
                <w:sz w:val="21"/>
                <w:szCs w:val="21"/>
              </w:rPr>
              <w:t>Statusi:</w:t>
            </w:r>
          </w:p>
          <w:p w14:paraId="4CC9EAC2" w14:textId="3350A215" w:rsidR="00C937A3" w:rsidRPr="00EC036A" w:rsidRDefault="00C8513C" w:rsidP="00EC036A">
            <w:pPr>
              <w:jc w:val="both"/>
              <w:rPr>
                <w:rFonts w:ascii="Times New Roman" w:eastAsia="Calibri" w:hAnsi="Times New Roman" w:cs="Times New Roman"/>
                <w:sz w:val="21"/>
                <w:szCs w:val="21"/>
              </w:rPr>
            </w:pPr>
            <w:r w:rsidRPr="00EC036A">
              <w:rPr>
                <w:rFonts w:ascii="Times New Roman" w:eastAsia="Calibri" w:hAnsi="Times New Roman" w:cs="Times New Roman"/>
                <w:sz w:val="21"/>
                <w:szCs w:val="21"/>
              </w:rPr>
              <w:t>Pjesërisht i adresuar / në shqyrtim</w:t>
            </w:r>
          </w:p>
        </w:tc>
      </w:tr>
      <w:tr w:rsidR="003C165B" w:rsidRPr="00621CF2" w14:paraId="0D148387" w14:textId="77777777" w:rsidTr="00E22A47">
        <w:trPr>
          <w:trHeight w:val="890"/>
        </w:trPr>
        <w:tc>
          <w:tcPr>
            <w:tcW w:w="2065" w:type="dxa"/>
            <w:vMerge/>
          </w:tcPr>
          <w:p w14:paraId="34683BC2" w14:textId="77777777" w:rsidR="003C165B" w:rsidRPr="00EC036A" w:rsidRDefault="003C165B" w:rsidP="00C937A3">
            <w:pPr>
              <w:pStyle w:val="p1"/>
              <w:rPr>
                <w:rStyle w:val="s1"/>
                <w:rFonts w:ascii="Times New Roman" w:hAnsi="Times New Roman"/>
                <w:b/>
                <w:sz w:val="21"/>
                <w:szCs w:val="21"/>
              </w:rPr>
            </w:pPr>
          </w:p>
        </w:tc>
        <w:tc>
          <w:tcPr>
            <w:tcW w:w="5490" w:type="dxa"/>
            <w:tcBorders>
              <w:bottom w:val="single" w:sz="4" w:space="0" w:color="auto"/>
            </w:tcBorders>
          </w:tcPr>
          <w:p w14:paraId="0700F422" w14:textId="376E492D" w:rsidR="003C165B" w:rsidRPr="00EC036A" w:rsidRDefault="0000195A" w:rsidP="00EC036A">
            <w:pPr>
              <w:pStyle w:val="p1"/>
              <w:jc w:val="both"/>
              <w:rPr>
                <w:rStyle w:val="s1"/>
                <w:rFonts w:ascii="Times New Roman" w:hAnsi="Times New Roman"/>
                <w:sz w:val="21"/>
                <w:szCs w:val="21"/>
              </w:rPr>
            </w:pPr>
            <w:r w:rsidRPr="00EC036A">
              <w:rPr>
                <w:rStyle w:val="s1"/>
                <w:rFonts w:ascii="Times New Roman" w:hAnsi="Times New Roman"/>
                <w:sz w:val="21"/>
                <w:szCs w:val="21"/>
              </w:rPr>
              <w:t>Rekomandohet z</w:t>
            </w:r>
            <w:r w:rsidR="003C165B" w:rsidRPr="00EC036A">
              <w:rPr>
                <w:rStyle w:val="s1"/>
                <w:rFonts w:ascii="Times New Roman" w:hAnsi="Times New Roman"/>
                <w:sz w:val="21"/>
                <w:szCs w:val="21"/>
              </w:rPr>
              <w:t xml:space="preserve">gjerimi i publikimit të </w:t>
            </w:r>
            <w:proofErr w:type="spellStart"/>
            <w:r w:rsidR="003C165B" w:rsidRPr="00EC036A">
              <w:rPr>
                <w:rStyle w:val="s1"/>
                <w:rFonts w:ascii="Times New Roman" w:hAnsi="Times New Roman"/>
                <w:sz w:val="21"/>
                <w:szCs w:val="21"/>
              </w:rPr>
              <w:t>të</w:t>
            </w:r>
            <w:proofErr w:type="spellEnd"/>
            <w:r w:rsidR="003C165B" w:rsidRPr="00EC036A">
              <w:rPr>
                <w:rStyle w:val="s1"/>
                <w:rFonts w:ascii="Times New Roman" w:hAnsi="Times New Roman"/>
                <w:sz w:val="21"/>
                <w:szCs w:val="21"/>
              </w:rPr>
              <w:t xml:space="preserve"> dhënave të hapura</w:t>
            </w:r>
          </w:p>
          <w:p w14:paraId="1DC963C9" w14:textId="4AA266D6" w:rsidR="003C165B" w:rsidRPr="00EC036A" w:rsidRDefault="003C165B" w:rsidP="00EC036A">
            <w:pPr>
              <w:pStyle w:val="p1"/>
              <w:jc w:val="both"/>
              <w:rPr>
                <w:rStyle w:val="s1"/>
                <w:rFonts w:ascii="Times New Roman" w:hAnsi="Times New Roman"/>
                <w:sz w:val="21"/>
                <w:szCs w:val="21"/>
              </w:rPr>
            </w:pPr>
            <w:r w:rsidRPr="00EC036A">
              <w:rPr>
                <w:rStyle w:val="s1"/>
                <w:rFonts w:ascii="Times New Roman" w:hAnsi="Times New Roman"/>
                <w:sz w:val="21"/>
                <w:szCs w:val="21"/>
              </w:rPr>
              <w:t xml:space="preserve">Institucionet publike duhet të publikojnë </w:t>
            </w:r>
            <w:proofErr w:type="spellStart"/>
            <w:r w:rsidRPr="00EC036A">
              <w:rPr>
                <w:rStyle w:val="s1"/>
                <w:rFonts w:ascii="Times New Roman" w:hAnsi="Times New Roman"/>
                <w:sz w:val="21"/>
                <w:szCs w:val="21"/>
              </w:rPr>
              <w:t>dataset</w:t>
            </w:r>
            <w:proofErr w:type="spellEnd"/>
            <w:r w:rsidRPr="00EC036A">
              <w:rPr>
                <w:rStyle w:val="s1"/>
                <w:rFonts w:ascii="Times New Roman" w:hAnsi="Times New Roman"/>
                <w:sz w:val="21"/>
                <w:szCs w:val="21"/>
              </w:rPr>
              <w:t>-e prioritare në formate të hapura dhe të lexueshme nga makineritë, përfshirë kontratat publike, subvencionet, projektet kapitale dhe statistikat mbi shërbimet publike.</w:t>
            </w:r>
          </w:p>
        </w:tc>
        <w:tc>
          <w:tcPr>
            <w:tcW w:w="1260" w:type="dxa"/>
            <w:tcBorders>
              <w:bottom w:val="single" w:sz="4" w:space="0" w:color="auto"/>
            </w:tcBorders>
          </w:tcPr>
          <w:p w14:paraId="5205D57C" w14:textId="714D70E4" w:rsidR="003C165B" w:rsidRPr="00EC036A" w:rsidRDefault="00C0012C" w:rsidP="00EC036A">
            <w:pPr>
              <w:jc w:val="both"/>
              <w:rPr>
                <w:rFonts w:ascii="Times New Roman" w:eastAsia="Calibri" w:hAnsi="Times New Roman" w:cs="Times New Roman"/>
                <w:b/>
                <w:sz w:val="21"/>
                <w:szCs w:val="21"/>
              </w:rPr>
            </w:pPr>
            <w:r w:rsidRPr="00EC036A">
              <w:rPr>
                <w:rFonts w:ascii="Times New Roman" w:eastAsia="Calibri" w:hAnsi="Times New Roman" w:cs="Times New Roman"/>
                <w:b/>
                <w:sz w:val="21"/>
                <w:szCs w:val="21"/>
              </w:rPr>
              <w:t>Miftar Miftari – IT Komuna Shtime</w:t>
            </w:r>
          </w:p>
        </w:tc>
        <w:tc>
          <w:tcPr>
            <w:tcW w:w="1505" w:type="dxa"/>
            <w:tcBorders>
              <w:bottom w:val="single" w:sz="4" w:space="0" w:color="auto"/>
            </w:tcBorders>
          </w:tcPr>
          <w:p w14:paraId="44DBCA1E" w14:textId="16B97ABF" w:rsidR="003C165B" w:rsidRPr="00EC036A" w:rsidRDefault="00C22338" w:rsidP="00EC036A">
            <w:pPr>
              <w:jc w:val="both"/>
              <w:rPr>
                <w:rFonts w:ascii="Times New Roman" w:eastAsia="Calibri" w:hAnsi="Times New Roman" w:cs="Times New Roman"/>
                <w:b/>
                <w:sz w:val="21"/>
                <w:szCs w:val="21"/>
              </w:rPr>
            </w:pPr>
            <w:r w:rsidRPr="00EC036A">
              <w:rPr>
                <w:rFonts w:ascii="Times New Roman" w:eastAsia="Calibri" w:hAnsi="Times New Roman" w:cs="Times New Roman"/>
                <w:b/>
                <w:sz w:val="21"/>
                <w:szCs w:val="21"/>
              </w:rPr>
              <w:t xml:space="preserve">I pranuar </w:t>
            </w:r>
          </w:p>
        </w:tc>
        <w:tc>
          <w:tcPr>
            <w:tcW w:w="4349" w:type="dxa"/>
            <w:tcBorders>
              <w:bottom w:val="single" w:sz="4" w:space="0" w:color="auto"/>
            </w:tcBorders>
          </w:tcPr>
          <w:p w14:paraId="34700DCE" w14:textId="77777777" w:rsidR="00886135" w:rsidRPr="00EC036A" w:rsidRDefault="00886135" w:rsidP="00EC036A">
            <w:pPr>
              <w:jc w:val="both"/>
              <w:rPr>
                <w:rFonts w:ascii="Times New Roman" w:eastAsia="Calibri" w:hAnsi="Times New Roman" w:cs="Times New Roman"/>
                <w:sz w:val="21"/>
                <w:szCs w:val="21"/>
              </w:rPr>
            </w:pPr>
            <w:r w:rsidRPr="00EC036A">
              <w:rPr>
                <w:rFonts w:ascii="Times New Roman" w:eastAsia="Calibri" w:hAnsi="Times New Roman" w:cs="Times New Roman"/>
                <w:sz w:val="21"/>
                <w:szCs w:val="21"/>
              </w:rPr>
              <w:t xml:space="preserve">Plani i Veprimit përfshin masa konkrete për përmirësimin e publikimit </w:t>
            </w:r>
            <w:proofErr w:type="spellStart"/>
            <w:r w:rsidRPr="00EC036A">
              <w:rPr>
                <w:rFonts w:ascii="Times New Roman" w:eastAsia="Calibri" w:hAnsi="Times New Roman" w:cs="Times New Roman"/>
                <w:sz w:val="21"/>
                <w:szCs w:val="21"/>
              </w:rPr>
              <w:t>proaktiv</w:t>
            </w:r>
            <w:proofErr w:type="spellEnd"/>
            <w:r w:rsidRPr="00EC036A">
              <w:rPr>
                <w:rFonts w:ascii="Times New Roman" w:eastAsia="Calibri" w:hAnsi="Times New Roman" w:cs="Times New Roman"/>
                <w:sz w:val="21"/>
                <w:szCs w:val="21"/>
              </w:rPr>
              <w:t xml:space="preserve"> të </w:t>
            </w:r>
            <w:proofErr w:type="spellStart"/>
            <w:r w:rsidRPr="00EC036A">
              <w:rPr>
                <w:rFonts w:ascii="Times New Roman" w:eastAsia="Calibri" w:hAnsi="Times New Roman" w:cs="Times New Roman"/>
                <w:sz w:val="21"/>
                <w:szCs w:val="21"/>
              </w:rPr>
              <w:t>të</w:t>
            </w:r>
            <w:proofErr w:type="spellEnd"/>
            <w:r w:rsidRPr="00EC036A">
              <w:rPr>
                <w:rFonts w:ascii="Times New Roman" w:eastAsia="Calibri" w:hAnsi="Times New Roman" w:cs="Times New Roman"/>
                <w:sz w:val="21"/>
                <w:szCs w:val="21"/>
              </w:rPr>
              <w:t xml:space="preserve"> dhënave, në bashkëpunim me Agjencia për Informim dhe Privatësi dhe institucionet tjera relevante. Është paraparë standardizimi i publikimit të informatave për shërbimet publike dhe rritja e numrit të </w:t>
            </w:r>
            <w:proofErr w:type="spellStart"/>
            <w:r w:rsidRPr="00EC036A">
              <w:rPr>
                <w:rFonts w:ascii="Times New Roman" w:eastAsia="Calibri" w:hAnsi="Times New Roman" w:cs="Times New Roman"/>
                <w:sz w:val="21"/>
                <w:szCs w:val="21"/>
              </w:rPr>
              <w:t>dataset</w:t>
            </w:r>
            <w:proofErr w:type="spellEnd"/>
            <w:r w:rsidRPr="00EC036A">
              <w:rPr>
                <w:rFonts w:ascii="Times New Roman" w:eastAsia="Calibri" w:hAnsi="Times New Roman" w:cs="Times New Roman"/>
                <w:sz w:val="21"/>
                <w:szCs w:val="21"/>
              </w:rPr>
              <w:t>-eve në formate të hapura dhe të lexueshme nga makineritë.</w:t>
            </w:r>
          </w:p>
          <w:p w14:paraId="230968E7" w14:textId="77777777" w:rsidR="00886135" w:rsidRPr="00EC036A" w:rsidRDefault="00886135" w:rsidP="00EC036A">
            <w:pPr>
              <w:jc w:val="both"/>
              <w:rPr>
                <w:rFonts w:ascii="Times New Roman" w:eastAsia="Calibri" w:hAnsi="Times New Roman" w:cs="Times New Roman"/>
                <w:sz w:val="21"/>
                <w:szCs w:val="21"/>
              </w:rPr>
            </w:pPr>
          </w:p>
          <w:p w14:paraId="49CE64B6" w14:textId="77777777" w:rsidR="00886135" w:rsidRPr="00EC036A" w:rsidRDefault="00886135" w:rsidP="00EC036A">
            <w:pPr>
              <w:jc w:val="both"/>
              <w:rPr>
                <w:rFonts w:ascii="Times New Roman" w:eastAsia="Calibri" w:hAnsi="Times New Roman" w:cs="Times New Roman"/>
                <w:sz w:val="21"/>
                <w:szCs w:val="21"/>
              </w:rPr>
            </w:pPr>
            <w:r w:rsidRPr="00EC036A">
              <w:rPr>
                <w:rFonts w:ascii="Times New Roman" w:eastAsia="Calibri" w:hAnsi="Times New Roman" w:cs="Times New Roman"/>
                <w:sz w:val="21"/>
                <w:szCs w:val="21"/>
              </w:rPr>
              <w:t>Statusi:</w:t>
            </w:r>
          </w:p>
          <w:p w14:paraId="3EE5B318" w14:textId="5E55F79F" w:rsidR="003C165B" w:rsidRPr="00EC036A" w:rsidRDefault="00886135" w:rsidP="00EC036A">
            <w:pPr>
              <w:jc w:val="both"/>
              <w:rPr>
                <w:rFonts w:ascii="Times New Roman" w:eastAsia="Calibri" w:hAnsi="Times New Roman" w:cs="Times New Roman"/>
                <w:sz w:val="21"/>
                <w:szCs w:val="21"/>
              </w:rPr>
            </w:pPr>
            <w:r w:rsidRPr="00EC036A">
              <w:rPr>
                <w:rFonts w:ascii="Times New Roman" w:eastAsia="Calibri" w:hAnsi="Times New Roman" w:cs="Times New Roman"/>
                <w:sz w:val="21"/>
                <w:szCs w:val="21"/>
              </w:rPr>
              <w:t>I integruar në Planin e Veprimit 2026-2028</w:t>
            </w:r>
          </w:p>
        </w:tc>
      </w:tr>
      <w:tr w:rsidR="003C165B" w:rsidRPr="00621CF2" w14:paraId="61D05AEB" w14:textId="77777777" w:rsidTr="00E22A47">
        <w:trPr>
          <w:trHeight w:val="2870"/>
        </w:trPr>
        <w:tc>
          <w:tcPr>
            <w:tcW w:w="2065" w:type="dxa"/>
            <w:vMerge/>
          </w:tcPr>
          <w:p w14:paraId="47F6216A" w14:textId="77777777" w:rsidR="003C165B" w:rsidRPr="00EC036A" w:rsidRDefault="003C165B" w:rsidP="00C937A3">
            <w:pPr>
              <w:pStyle w:val="p1"/>
              <w:rPr>
                <w:rStyle w:val="s1"/>
                <w:rFonts w:ascii="Times New Roman" w:hAnsi="Times New Roman"/>
                <w:b/>
                <w:sz w:val="21"/>
                <w:szCs w:val="21"/>
              </w:rPr>
            </w:pPr>
          </w:p>
        </w:tc>
        <w:tc>
          <w:tcPr>
            <w:tcW w:w="5490" w:type="dxa"/>
            <w:tcBorders>
              <w:bottom w:val="single" w:sz="4" w:space="0" w:color="auto"/>
            </w:tcBorders>
          </w:tcPr>
          <w:p w14:paraId="253261AD" w14:textId="02FA29F9" w:rsidR="003C165B" w:rsidRPr="00EC036A" w:rsidRDefault="0000195A" w:rsidP="00EC036A">
            <w:pPr>
              <w:pStyle w:val="p1"/>
              <w:jc w:val="both"/>
              <w:rPr>
                <w:rStyle w:val="s1"/>
                <w:rFonts w:ascii="Times New Roman" w:hAnsi="Times New Roman"/>
                <w:sz w:val="21"/>
                <w:szCs w:val="21"/>
              </w:rPr>
            </w:pPr>
            <w:r w:rsidRPr="00EC036A">
              <w:rPr>
                <w:rStyle w:val="s1"/>
                <w:rFonts w:ascii="Times New Roman" w:hAnsi="Times New Roman"/>
                <w:sz w:val="21"/>
                <w:szCs w:val="21"/>
              </w:rPr>
              <w:t>Rekomandohet  r</w:t>
            </w:r>
            <w:r w:rsidR="003C165B" w:rsidRPr="00EC036A">
              <w:rPr>
                <w:rStyle w:val="s1"/>
                <w:rFonts w:ascii="Times New Roman" w:hAnsi="Times New Roman"/>
                <w:sz w:val="21"/>
                <w:szCs w:val="21"/>
              </w:rPr>
              <w:t>aportim periodik për progresin e planit</w:t>
            </w:r>
          </w:p>
          <w:p w14:paraId="7D22DBBF" w14:textId="77777777" w:rsidR="003C165B" w:rsidRPr="00EC036A" w:rsidRDefault="003C165B" w:rsidP="00EC036A">
            <w:pPr>
              <w:pStyle w:val="p1"/>
              <w:jc w:val="both"/>
              <w:rPr>
                <w:rStyle w:val="s1"/>
                <w:rFonts w:ascii="Times New Roman" w:hAnsi="Times New Roman"/>
                <w:sz w:val="21"/>
                <w:szCs w:val="21"/>
              </w:rPr>
            </w:pPr>
            <w:r w:rsidRPr="00EC036A">
              <w:rPr>
                <w:rStyle w:val="s1"/>
                <w:rFonts w:ascii="Times New Roman" w:hAnsi="Times New Roman"/>
                <w:sz w:val="21"/>
                <w:szCs w:val="21"/>
              </w:rPr>
              <w:t>Rekomandohet publikimi i raporteve periodike mbi progresin e zbatimit të planit për të rritur transparencën dhe llogaridhënien institucionale.</w:t>
            </w:r>
          </w:p>
          <w:p w14:paraId="7ABA550F" w14:textId="45475469" w:rsidR="003C165B" w:rsidRPr="00EC036A" w:rsidRDefault="003C165B" w:rsidP="00EC036A">
            <w:pPr>
              <w:pStyle w:val="p1"/>
              <w:jc w:val="both"/>
              <w:rPr>
                <w:rStyle w:val="s1"/>
                <w:rFonts w:ascii="Times New Roman" w:hAnsi="Times New Roman"/>
                <w:sz w:val="21"/>
                <w:szCs w:val="21"/>
              </w:rPr>
            </w:pPr>
            <w:r w:rsidRPr="00EC036A">
              <w:rPr>
                <w:rStyle w:val="s1"/>
                <w:rFonts w:ascii="Times New Roman" w:hAnsi="Times New Roman"/>
                <w:sz w:val="21"/>
                <w:szCs w:val="21"/>
              </w:rPr>
              <w:t>Përfundim</w:t>
            </w:r>
            <w:r w:rsidR="0000195A" w:rsidRPr="00EC036A">
              <w:rPr>
                <w:rStyle w:val="s1"/>
                <w:rFonts w:ascii="Times New Roman" w:hAnsi="Times New Roman"/>
                <w:sz w:val="21"/>
                <w:szCs w:val="21"/>
              </w:rPr>
              <w:t>:</w:t>
            </w:r>
          </w:p>
          <w:p w14:paraId="486CB706" w14:textId="595E1AA8" w:rsidR="003C165B" w:rsidRPr="00EC036A" w:rsidRDefault="003C165B" w:rsidP="00EC036A">
            <w:pPr>
              <w:pStyle w:val="p1"/>
              <w:jc w:val="both"/>
              <w:rPr>
                <w:rStyle w:val="s1"/>
                <w:rFonts w:ascii="Times New Roman" w:hAnsi="Times New Roman"/>
                <w:sz w:val="21"/>
                <w:szCs w:val="21"/>
              </w:rPr>
            </w:pPr>
            <w:r w:rsidRPr="00EC036A">
              <w:rPr>
                <w:rStyle w:val="s1"/>
                <w:rFonts w:ascii="Times New Roman" w:hAnsi="Times New Roman"/>
                <w:sz w:val="21"/>
                <w:szCs w:val="21"/>
              </w:rPr>
              <w:t>Plani Kombëtar i Veprimit për Qeverisje të Hapur 2026–2028 paraqet një instrument të rëndësishëm për avancimin e transparencës dhe pjesëmarrjes qytetare. Implementimi i rekomandimeve të mësipërme do të kontribuonte në përmirësimin e mekanizmave të monitorimit dhe në rritjen e besimit të qytetarëve në institucionet publike.</w:t>
            </w:r>
          </w:p>
        </w:tc>
        <w:tc>
          <w:tcPr>
            <w:tcW w:w="1260" w:type="dxa"/>
            <w:tcBorders>
              <w:bottom w:val="single" w:sz="4" w:space="0" w:color="auto"/>
            </w:tcBorders>
          </w:tcPr>
          <w:p w14:paraId="0DB64104" w14:textId="3343CFAC" w:rsidR="003C165B" w:rsidRPr="00EC036A" w:rsidRDefault="00C0012C" w:rsidP="00EC036A">
            <w:pPr>
              <w:jc w:val="both"/>
              <w:rPr>
                <w:rFonts w:ascii="Times New Roman" w:eastAsia="Calibri" w:hAnsi="Times New Roman" w:cs="Times New Roman"/>
                <w:b/>
                <w:sz w:val="21"/>
                <w:szCs w:val="21"/>
              </w:rPr>
            </w:pPr>
            <w:r w:rsidRPr="00EC036A">
              <w:rPr>
                <w:rFonts w:ascii="Times New Roman" w:eastAsia="Calibri" w:hAnsi="Times New Roman" w:cs="Times New Roman"/>
                <w:b/>
                <w:sz w:val="21"/>
                <w:szCs w:val="21"/>
              </w:rPr>
              <w:t>Miftar Miftari – IT Komuna Shtime</w:t>
            </w:r>
          </w:p>
        </w:tc>
        <w:tc>
          <w:tcPr>
            <w:tcW w:w="1505" w:type="dxa"/>
            <w:tcBorders>
              <w:bottom w:val="single" w:sz="4" w:space="0" w:color="auto"/>
            </w:tcBorders>
          </w:tcPr>
          <w:p w14:paraId="23E8F625" w14:textId="4B35E28A" w:rsidR="003C165B" w:rsidRPr="00EC036A" w:rsidRDefault="00C22338" w:rsidP="00EC036A">
            <w:pPr>
              <w:jc w:val="both"/>
              <w:rPr>
                <w:rFonts w:ascii="Times New Roman" w:eastAsia="Calibri" w:hAnsi="Times New Roman" w:cs="Times New Roman"/>
                <w:b/>
                <w:sz w:val="21"/>
                <w:szCs w:val="21"/>
              </w:rPr>
            </w:pPr>
            <w:r w:rsidRPr="00EC036A">
              <w:rPr>
                <w:rFonts w:ascii="Times New Roman" w:eastAsia="Calibri" w:hAnsi="Times New Roman" w:cs="Times New Roman"/>
                <w:b/>
                <w:sz w:val="21"/>
                <w:szCs w:val="21"/>
              </w:rPr>
              <w:t>I pranuar</w:t>
            </w:r>
          </w:p>
        </w:tc>
        <w:tc>
          <w:tcPr>
            <w:tcW w:w="4349" w:type="dxa"/>
            <w:tcBorders>
              <w:bottom w:val="single" w:sz="4" w:space="0" w:color="auto"/>
            </w:tcBorders>
          </w:tcPr>
          <w:p w14:paraId="2A265F4E" w14:textId="77777777" w:rsidR="00854C41" w:rsidRPr="00EC036A" w:rsidRDefault="00854C41" w:rsidP="00EC036A">
            <w:pPr>
              <w:jc w:val="both"/>
              <w:rPr>
                <w:rFonts w:ascii="Times New Roman" w:eastAsia="Calibri" w:hAnsi="Times New Roman" w:cs="Times New Roman"/>
                <w:sz w:val="21"/>
                <w:szCs w:val="21"/>
              </w:rPr>
            </w:pPr>
            <w:r w:rsidRPr="00EC036A">
              <w:rPr>
                <w:rFonts w:ascii="Times New Roman" w:eastAsia="Calibri" w:hAnsi="Times New Roman" w:cs="Times New Roman"/>
                <w:sz w:val="21"/>
                <w:szCs w:val="21"/>
              </w:rPr>
              <w:t xml:space="preserve">Plani i Veprimit parasheh mekanizma të rregullt raportimi për progresin e zbatimit, në përputhje me standardet e </w:t>
            </w:r>
            <w:proofErr w:type="spellStart"/>
            <w:r w:rsidRPr="00EC036A">
              <w:rPr>
                <w:rFonts w:ascii="Times New Roman" w:eastAsia="Calibri" w:hAnsi="Times New Roman" w:cs="Times New Roman"/>
                <w:sz w:val="21"/>
                <w:szCs w:val="21"/>
              </w:rPr>
              <w:t>Open</w:t>
            </w:r>
            <w:proofErr w:type="spellEnd"/>
            <w:r w:rsidRPr="00EC036A">
              <w:rPr>
                <w:rFonts w:ascii="Times New Roman" w:eastAsia="Calibri" w:hAnsi="Times New Roman" w:cs="Times New Roman"/>
                <w:sz w:val="21"/>
                <w:szCs w:val="21"/>
              </w:rPr>
              <w:t xml:space="preserve"> </w:t>
            </w:r>
            <w:proofErr w:type="spellStart"/>
            <w:r w:rsidRPr="00EC036A">
              <w:rPr>
                <w:rFonts w:ascii="Times New Roman" w:eastAsia="Calibri" w:hAnsi="Times New Roman" w:cs="Times New Roman"/>
                <w:sz w:val="21"/>
                <w:szCs w:val="21"/>
              </w:rPr>
              <w:t>Government</w:t>
            </w:r>
            <w:proofErr w:type="spellEnd"/>
            <w:r w:rsidRPr="00EC036A">
              <w:rPr>
                <w:rFonts w:ascii="Times New Roman" w:eastAsia="Calibri" w:hAnsi="Times New Roman" w:cs="Times New Roman"/>
                <w:sz w:val="21"/>
                <w:szCs w:val="21"/>
              </w:rPr>
              <w:t xml:space="preserve"> </w:t>
            </w:r>
            <w:proofErr w:type="spellStart"/>
            <w:r w:rsidRPr="00EC036A">
              <w:rPr>
                <w:rFonts w:ascii="Times New Roman" w:eastAsia="Calibri" w:hAnsi="Times New Roman" w:cs="Times New Roman"/>
                <w:sz w:val="21"/>
                <w:szCs w:val="21"/>
              </w:rPr>
              <w:t>Partnership</w:t>
            </w:r>
            <w:proofErr w:type="spellEnd"/>
            <w:r w:rsidRPr="00EC036A">
              <w:rPr>
                <w:rFonts w:ascii="Times New Roman" w:eastAsia="Calibri" w:hAnsi="Times New Roman" w:cs="Times New Roman"/>
                <w:sz w:val="21"/>
                <w:szCs w:val="21"/>
              </w:rPr>
              <w:t>. Raportet periodike do të publikohen për të siguruar transparencë, monitorim dhe llogaridhënie ndaj publikut dhe partnerëve.</w:t>
            </w:r>
          </w:p>
          <w:p w14:paraId="72A2215E" w14:textId="77777777" w:rsidR="00854C41" w:rsidRPr="00EC036A" w:rsidRDefault="00854C41" w:rsidP="00EC036A">
            <w:pPr>
              <w:jc w:val="both"/>
              <w:rPr>
                <w:rFonts w:ascii="Times New Roman" w:eastAsia="Calibri" w:hAnsi="Times New Roman" w:cs="Times New Roman"/>
                <w:sz w:val="21"/>
                <w:szCs w:val="21"/>
              </w:rPr>
            </w:pPr>
          </w:p>
          <w:p w14:paraId="1D22F9EC" w14:textId="77777777" w:rsidR="00854C41" w:rsidRPr="00EC036A" w:rsidRDefault="00854C41" w:rsidP="00EC036A">
            <w:pPr>
              <w:jc w:val="both"/>
              <w:rPr>
                <w:rFonts w:ascii="Times New Roman" w:eastAsia="Calibri" w:hAnsi="Times New Roman" w:cs="Times New Roman"/>
                <w:sz w:val="21"/>
                <w:szCs w:val="21"/>
              </w:rPr>
            </w:pPr>
            <w:r w:rsidRPr="00EC036A">
              <w:rPr>
                <w:rFonts w:ascii="Times New Roman" w:eastAsia="Calibri" w:hAnsi="Times New Roman" w:cs="Times New Roman"/>
                <w:sz w:val="21"/>
                <w:szCs w:val="21"/>
              </w:rPr>
              <w:t>Statusi:</w:t>
            </w:r>
          </w:p>
          <w:p w14:paraId="3B37AC0E" w14:textId="50F13630" w:rsidR="003C165B" w:rsidRPr="00EC036A" w:rsidRDefault="00E22A47" w:rsidP="00EC036A">
            <w:pPr>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I </w:t>
            </w:r>
            <w:r w:rsidR="00854C41" w:rsidRPr="00EC036A">
              <w:rPr>
                <w:rFonts w:ascii="Times New Roman" w:eastAsia="Calibri" w:hAnsi="Times New Roman" w:cs="Times New Roman"/>
                <w:sz w:val="21"/>
                <w:szCs w:val="21"/>
              </w:rPr>
              <w:t>integruar në Planin e Veprimit 2026-208</w:t>
            </w:r>
          </w:p>
        </w:tc>
      </w:tr>
      <w:tr w:rsidR="00621CF2" w:rsidRPr="00621CF2" w14:paraId="358F47E3" w14:textId="77777777" w:rsidTr="00E22A47">
        <w:trPr>
          <w:trHeight w:val="2183"/>
        </w:trPr>
        <w:tc>
          <w:tcPr>
            <w:tcW w:w="2065" w:type="dxa"/>
            <w:vMerge/>
          </w:tcPr>
          <w:p w14:paraId="06E96942" w14:textId="7E8BF3E3" w:rsidR="00C937A3" w:rsidRPr="00EC036A" w:rsidRDefault="00C937A3" w:rsidP="00C937A3">
            <w:pPr>
              <w:pStyle w:val="p1"/>
              <w:rPr>
                <w:rStyle w:val="s1"/>
                <w:rFonts w:ascii="Times New Roman" w:hAnsi="Times New Roman"/>
                <w:sz w:val="21"/>
                <w:szCs w:val="21"/>
              </w:rPr>
            </w:pPr>
          </w:p>
        </w:tc>
        <w:tc>
          <w:tcPr>
            <w:tcW w:w="5490" w:type="dxa"/>
            <w:tcBorders>
              <w:bottom w:val="single" w:sz="4" w:space="0" w:color="auto"/>
            </w:tcBorders>
          </w:tcPr>
          <w:p w14:paraId="4377C884" w14:textId="2DE733C9" w:rsidR="00C937A3" w:rsidRPr="00EC036A" w:rsidRDefault="00C937A3" w:rsidP="00EC036A">
            <w:pPr>
              <w:pStyle w:val="p1"/>
              <w:jc w:val="both"/>
              <w:rPr>
                <w:rStyle w:val="s1"/>
                <w:rFonts w:ascii="Times New Roman" w:hAnsi="Times New Roman"/>
                <w:sz w:val="21"/>
                <w:szCs w:val="21"/>
              </w:rPr>
            </w:pPr>
            <w:r w:rsidRPr="00EC036A">
              <w:rPr>
                <w:rFonts w:ascii="Times New Roman" w:hAnsi="Times New Roman"/>
                <w:sz w:val="21"/>
                <w:szCs w:val="21"/>
              </w:rPr>
              <w:t xml:space="preserve">INPO sugjeron që zotimi të shoqërohet me indikatorë të matshëm, si </w:t>
            </w:r>
            <w:proofErr w:type="spellStart"/>
            <w:r w:rsidRPr="00EC036A">
              <w:rPr>
                <w:rFonts w:ascii="Times New Roman" w:hAnsi="Times New Roman"/>
                <w:sz w:val="21"/>
                <w:szCs w:val="21"/>
              </w:rPr>
              <w:t>psh</w:t>
            </w:r>
            <w:proofErr w:type="spellEnd"/>
            <w:r w:rsidRPr="00EC036A">
              <w:rPr>
                <w:rFonts w:ascii="Times New Roman" w:hAnsi="Times New Roman"/>
                <w:sz w:val="21"/>
                <w:szCs w:val="21"/>
              </w:rPr>
              <w:t>: numri i komunave që nënshkruajnë marrëveshje për zbatimin e platformës dhe numri i zyrtarëve të trajnuar; numri i kërkesave dhe propozimeve të dorëzuara nga qytetarët dhe përqindja e tyre që marrin përgjigje brenda afatit të përcaktuar; përqindja e kërkesave që përmbajnë përgjigje të plotë dhe të arsyetuar; Shkalla e përfshirjes së propozimeve të qytetarëve në vendimmarrje.</w:t>
            </w:r>
          </w:p>
        </w:tc>
        <w:tc>
          <w:tcPr>
            <w:tcW w:w="1260" w:type="dxa"/>
            <w:tcBorders>
              <w:bottom w:val="single" w:sz="4" w:space="0" w:color="auto"/>
            </w:tcBorders>
          </w:tcPr>
          <w:p w14:paraId="65544AFD" w14:textId="19BA7D9D" w:rsidR="00C937A3" w:rsidRPr="00EC036A" w:rsidRDefault="00C937A3" w:rsidP="00EC036A">
            <w:pPr>
              <w:jc w:val="both"/>
              <w:rPr>
                <w:rFonts w:ascii="Times New Roman" w:eastAsia="Calibri" w:hAnsi="Times New Roman" w:cs="Times New Roman"/>
                <w:b/>
                <w:sz w:val="21"/>
                <w:szCs w:val="21"/>
              </w:rPr>
            </w:pPr>
            <w:r w:rsidRPr="00EC036A">
              <w:rPr>
                <w:rFonts w:ascii="Times New Roman" w:eastAsia="Calibri" w:hAnsi="Times New Roman" w:cs="Times New Roman"/>
                <w:b/>
                <w:sz w:val="21"/>
                <w:szCs w:val="21"/>
              </w:rPr>
              <w:t>INPO</w:t>
            </w:r>
          </w:p>
        </w:tc>
        <w:tc>
          <w:tcPr>
            <w:tcW w:w="1505" w:type="dxa"/>
            <w:tcBorders>
              <w:bottom w:val="single" w:sz="4" w:space="0" w:color="auto"/>
            </w:tcBorders>
          </w:tcPr>
          <w:p w14:paraId="6DCDC059" w14:textId="12238702" w:rsidR="00C937A3" w:rsidRPr="00EC036A" w:rsidRDefault="00EC036A" w:rsidP="00EC036A">
            <w:pPr>
              <w:jc w:val="both"/>
              <w:rPr>
                <w:rFonts w:ascii="Times New Roman" w:eastAsia="Calibri" w:hAnsi="Times New Roman" w:cs="Times New Roman"/>
                <w:b/>
                <w:sz w:val="21"/>
                <w:szCs w:val="21"/>
              </w:rPr>
            </w:pPr>
            <w:r w:rsidRPr="00EC036A">
              <w:rPr>
                <w:rFonts w:ascii="Times New Roman" w:eastAsia="Calibri" w:hAnsi="Times New Roman" w:cs="Times New Roman"/>
                <w:b/>
                <w:sz w:val="21"/>
                <w:szCs w:val="21"/>
              </w:rPr>
              <w:t>Pjesërisht pranuar</w:t>
            </w:r>
          </w:p>
        </w:tc>
        <w:tc>
          <w:tcPr>
            <w:tcW w:w="4349" w:type="dxa"/>
            <w:tcBorders>
              <w:bottom w:val="single" w:sz="4" w:space="0" w:color="auto"/>
            </w:tcBorders>
          </w:tcPr>
          <w:p w14:paraId="27FA1299" w14:textId="77777777" w:rsidR="008E5836" w:rsidRPr="008E5836" w:rsidRDefault="008E5836" w:rsidP="008E5836">
            <w:pPr>
              <w:jc w:val="both"/>
              <w:rPr>
                <w:rFonts w:ascii="Times New Roman" w:eastAsia="Calibri" w:hAnsi="Times New Roman" w:cs="Times New Roman"/>
                <w:sz w:val="21"/>
                <w:szCs w:val="21"/>
              </w:rPr>
            </w:pPr>
            <w:r w:rsidRPr="008E5836">
              <w:rPr>
                <w:rFonts w:ascii="Times New Roman" w:eastAsia="Calibri" w:hAnsi="Times New Roman" w:cs="Times New Roman"/>
                <w:sz w:val="21"/>
                <w:szCs w:val="21"/>
              </w:rPr>
              <w:t>Vlerësohet rëndësia e përcaktimit të indikatorëve të matshëm të performancës (KPI) për monitorimin dhe vlerësimin e zbatimit të zotimeve. Megjithatë, duke pasur parasysh strukturën e Planit Kombëtar të Veprimit 2026–2028, indikatorët e detajuar nuk janë pjesë e këtij dokumenti strategjik.</w:t>
            </w:r>
          </w:p>
          <w:p w14:paraId="3FA8485B" w14:textId="77777777" w:rsidR="008E5836" w:rsidRPr="008E5836" w:rsidRDefault="008E5836" w:rsidP="008E5836">
            <w:pPr>
              <w:jc w:val="both"/>
              <w:rPr>
                <w:rFonts w:ascii="Times New Roman" w:eastAsia="Calibri" w:hAnsi="Times New Roman" w:cs="Times New Roman"/>
                <w:sz w:val="21"/>
                <w:szCs w:val="21"/>
              </w:rPr>
            </w:pPr>
            <w:r w:rsidRPr="008E5836">
              <w:rPr>
                <w:rFonts w:ascii="Times New Roman" w:eastAsia="Calibri" w:hAnsi="Times New Roman" w:cs="Times New Roman"/>
                <w:sz w:val="21"/>
                <w:szCs w:val="21"/>
              </w:rPr>
              <w:t>•</w:t>
            </w:r>
            <w:r w:rsidRPr="008E5836">
              <w:rPr>
                <w:rFonts w:ascii="Times New Roman" w:eastAsia="Calibri" w:hAnsi="Times New Roman" w:cs="Times New Roman"/>
                <w:sz w:val="21"/>
                <w:szCs w:val="21"/>
              </w:rPr>
              <w:tab/>
              <w:t xml:space="preserve">Indikatorët për secilin zotim do të përcaktohen dhe </w:t>
            </w:r>
            <w:proofErr w:type="spellStart"/>
            <w:r w:rsidRPr="008E5836">
              <w:rPr>
                <w:rFonts w:ascii="Times New Roman" w:eastAsia="Calibri" w:hAnsi="Times New Roman" w:cs="Times New Roman"/>
                <w:sz w:val="21"/>
                <w:szCs w:val="21"/>
              </w:rPr>
              <w:t>operacionalizohen</w:t>
            </w:r>
            <w:proofErr w:type="spellEnd"/>
            <w:r w:rsidRPr="008E5836">
              <w:rPr>
                <w:rFonts w:ascii="Times New Roman" w:eastAsia="Calibri" w:hAnsi="Times New Roman" w:cs="Times New Roman"/>
                <w:sz w:val="21"/>
                <w:szCs w:val="21"/>
              </w:rPr>
              <w:t xml:space="preserve"> në kuadër të Planit të Zbatimit, i cili do të hartohet pas miratimit të Planit të Veprimit, në përputhje me kërkesat e </w:t>
            </w:r>
            <w:proofErr w:type="spellStart"/>
            <w:r w:rsidRPr="008E5836">
              <w:rPr>
                <w:rFonts w:ascii="Times New Roman" w:eastAsia="Calibri" w:hAnsi="Times New Roman" w:cs="Times New Roman"/>
                <w:sz w:val="21"/>
                <w:szCs w:val="21"/>
              </w:rPr>
              <w:t>Open</w:t>
            </w:r>
            <w:proofErr w:type="spellEnd"/>
            <w:r w:rsidRPr="008E5836">
              <w:rPr>
                <w:rFonts w:ascii="Times New Roman" w:eastAsia="Calibri" w:hAnsi="Times New Roman" w:cs="Times New Roman"/>
                <w:sz w:val="21"/>
                <w:szCs w:val="21"/>
              </w:rPr>
              <w:t xml:space="preserve"> </w:t>
            </w:r>
            <w:proofErr w:type="spellStart"/>
            <w:r w:rsidRPr="008E5836">
              <w:rPr>
                <w:rFonts w:ascii="Times New Roman" w:eastAsia="Calibri" w:hAnsi="Times New Roman" w:cs="Times New Roman"/>
                <w:sz w:val="21"/>
                <w:szCs w:val="21"/>
              </w:rPr>
              <w:t>Government</w:t>
            </w:r>
            <w:proofErr w:type="spellEnd"/>
            <w:r w:rsidRPr="008E5836">
              <w:rPr>
                <w:rFonts w:ascii="Times New Roman" w:eastAsia="Calibri" w:hAnsi="Times New Roman" w:cs="Times New Roman"/>
                <w:sz w:val="21"/>
                <w:szCs w:val="21"/>
              </w:rPr>
              <w:t xml:space="preserve"> </w:t>
            </w:r>
            <w:proofErr w:type="spellStart"/>
            <w:r w:rsidRPr="008E5836">
              <w:rPr>
                <w:rFonts w:ascii="Times New Roman" w:eastAsia="Calibri" w:hAnsi="Times New Roman" w:cs="Times New Roman"/>
                <w:sz w:val="21"/>
                <w:szCs w:val="21"/>
              </w:rPr>
              <w:t>Partnership</w:t>
            </w:r>
            <w:proofErr w:type="spellEnd"/>
            <w:r w:rsidRPr="008E5836">
              <w:rPr>
                <w:rFonts w:ascii="Times New Roman" w:eastAsia="Calibri" w:hAnsi="Times New Roman" w:cs="Times New Roman"/>
                <w:sz w:val="21"/>
                <w:szCs w:val="21"/>
              </w:rPr>
              <w:t xml:space="preserve"> dhe praktikat e Mekanizmit të Pavarur të Raportimit (IRM).</w:t>
            </w:r>
          </w:p>
          <w:p w14:paraId="0958FA84" w14:textId="4B918076" w:rsidR="00C937A3" w:rsidRPr="008E5836" w:rsidRDefault="00C937A3" w:rsidP="008E5836">
            <w:pPr>
              <w:jc w:val="both"/>
              <w:rPr>
                <w:rFonts w:ascii="Times New Roman" w:eastAsia="Calibri" w:hAnsi="Times New Roman" w:cs="Times New Roman"/>
                <w:sz w:val="21"/>
                <w:szCs w:val="21"/>
              </w:rPr>
            </w:pPr>
          </w:p>
        </w:tc>
      </w:tr>
      <w:tr w:rsidR="00EC036A" w:rsidRPr="00621CF2" w14:paraId="038DBCE9" w14:textId="77777777" w:rsidTr="00E22A47">
        <w:trPr>
          <w:trHeight w:val="2600"/>
        </w:trPr>
        <w:tc>
          <w:tcPr>
            <w:tcW w:w="2065" w:type="dxa"/>
          </w:tcPr>
          <w:p w14:paraId="16D4B303" w14:textId="5A1834D0" w:rsidR="00EC036A" w:rsidRPr="00EC036A" w:rsidRDefault="00EC036A" w:rsidP="00EC036A">
            <w:pPr>
              <w:pStyle w:val="p1"/>
              <w:jc w:val="both"/>
              <w:rPr>
                <w:rStyle w:val="s1"/>
                <w:rFonts w:ascii="Times New Roman" w:hAnsi="Times New Roman"/>
                <w:b/>
                <w:sz w:val="21"/>
                <w:szCs w:val="21"/>
              </w:rPr>
            </w:pPr>
            <w:r w:rsidRPr="00EC036A">
              <w:rPr>
                <w:rFonts w:ascii="Times New Roman" w:hAnsi="Times New Roman"/>
                <w:b/>
                <w:sz w:val="21"/>
                <w:szCs w:val="21"/>
              </w:rPr>
              <w:lastRenderedPageBreak/>
              <w:t xml:space="preserve">Zotimi 2: Forcimi i publikimit </w:t>
            </w:r>
            <w:proofErr w:type="spellStart"/>
            <w:r w:rsidRPr="00EC036A">
              <w:rPr>
                <w:rFonts w:ascii="Times New Roman" w:hAnsi="Times New Roman"/>
                <w:b/>
                <w:sz w:val="21"/>
                <w:szCs w:val="21"/>
              </w:rPr>
              <w:t>proaktiv</w:t>
            </w:r>
            <w:proofErr w:type="spellEnd"/>
            <w:r w:rsidRPr="00EC036A">
              <w:rPr>
                <w:rFonts w:ascii="Times New Roman" w:hAnsi="Times New Roman"/>
                <w:b/>
                <w:sz w:val="21"/>
                <w:szCs w:val="21"/>
              </w:rPr>
              <w:t xml:space="preserve"> dhe transparencës në Ministrinë e Financave</w:t>
            </w:r>
          </w:p>
        </w:tc>
        <w:tc>
          <w:tcPr>
            <w:tcW w:w="5490" w:type="dxa"/>
            <w:tcBorders>
              <w:bottom w:val="single" w:sz="4" w:space="0" w:color="auto"/>
            </w:tcBorders>
          </w:tcPr>
          <w:p w14:paraId="78E432CF" w14:textId="561E0E91" w:rsidR="00EC036A" w:rsidRPr="00EC036A" w:rsidRDefault="00EC036A" w:rsidP="00EC036A">
            <w:pPr>
              <w:pStyle w:val="p1"/>
              <w:jc w:val="both"/>
              <w:rPr>
                <w:rStyle w:val="s1"/>
                <w:rFonts w:ascii="Times New Roman" w:hAnsi="Times New Roman"/>
                <w:sz w:val="21"/>
                <w:szCs w:val="21"/>
              </w:rPr>
            </w:pPr>
            <w:r w:rsidRPr="00EC036A">
              <w:rPr>
                <w:rStyle w:val="s1"/>
                <w:rFonts w:ascii="Times New Roman" w:hAnsi="Times New Roman"/>
                <w:sz w:val="21"/>
                <w:szCs w:val="21"/>
              </w:rPr>
              <w:t>R</w:t>
            </w:r>
            <w:r w:rsidRPr="00EC036A">
              <w:rPr>
                <w:rFonts w:ascii="Times New Roman" w:hAnsi="Times New Roman"/>
                <w:sz w:val="21"/>
                <w:szCs w:val="21"/>
              </w:rPr>
              <w:t xml:space="preserve">ekomandohet që zotimi të riformulohet në mënyrë që të sigurojë publikim të rregullt dhe transparent të rezultateve të monitorimit për publikun, të hapë mekanizmat e monitorimit për përfshirje të shoqërisë civile dhe të përfshijë indikatorë të qartë dhe të matshëm, si </w:t>
            </w:r>
            <w:proofErr w:type="spellStart"/>
            <w:r w:rsidRPr="00EC036A">
              <w:rPr>
                <w:rFonts w:ascii="Times New Roman" w:hAnsi="Times New Roman"/>
                <w:sz w:val="21"/>
                <w:szCs w:val="21"/>
              </w:rPr>
              <w:t>psh</w:t>
            </w:r>
            <w:proofErr w:type="spellEnd"/>
            <w:r w:rsidRPr="00EC036A">
              <w:rPr>
                <w:rFonts w:ascii="Times New Roman" w:hAnsi="Times New Roman"/>
                <w:sz w:val="21"/>
                <w:szCs w:val="21"/>
              </w:rPr>
              <w:t>: përqindja e dokumenteve të publikuara brenda afateve ligjore, përqindja e dokumenteve të publikuara në format të hapur dhe në gjuhët zyrtare, numri i vizitave dhe shkarkimeve të dokumenteve si tregues i përdorimit nga publiku, etj.</w:t>
            </w:r>
          </w:p>
        </w:tc>
        <w:tc>
          <w:tcPr>
            <w:tcW w:w="1260" w:type="dxa"/>
            <w:tcBorders>
              <w:bottom w:val="single" w:sz="4" w:space="0" w:color="auto"/>
            </w:tcBorders>
          </w:tcPr>
          <w:p w14:paraId="657E1C4B" w14:textId="7BFA8C2E" w:rsidR="00EC036A" w:rsidRPr="00EC036A" w:rsidRDefault="00EC036A" w:rsidP="00EC036A">
            <w:pPr>
              <w:jc w:val="both"/>
              <w:rPr>
                <w:rFonts w:ascii="Times New Roman" w:eastAsia="Calibri" w:hAnsi="Times New Roman" w:cs="Times New Roman"/>
                <w:b/>
                <w:sz w:val="21"/>
                <w:szCs w:val="21"/>
              </w:rPr>
            </w:pPr>
            <w:r w:rsidRPr="00EC036A">
              <w:rPr>
                <w:rFonts w:ascii="Times New Roman" w:eastAsia="Calibri" w:hAnsi="Times New Roman" w:cs="Times New Roman"/>
                <w:b/>
                <w:sz w:val="21"/>
                <w:szCs w:val="21"/>
              </w:rPr>
              <w:t>INPO</w:t>
            </w:r>
          </w:p>
        </w:tc>
        <w:tc>
          <w:tcPr>
            <w:tcW w:w="1505" w:type="dxa"/>
            <w:tcBorders>
              <w:bottom w:val="single" w:sz="4" w:space="0" w:color="auto"/>
            </w:tcBorders>
          </w:tcPr>
          <w:p w14:paraId="32105512" w14:textId="377DECB2" w:rsidR="00EC036A" w:rsidRPr="00EC036A" w:rsidRDefault="00EC036A" w:rsidP="00EC036A">
            <w:pPr>
              <w:jc w:val="both"/>
              <w:rPr>
                <w:rFonts w:ascii="Times New Roman" w:eastAsia="Calibri" w:hAnsi="Times New Roman" w:cs="Times New Roman"/>
                <w:b/>
                <w:sz w:val="21"/>
                <w:szCs w:val="21"/>
              </w:rPr>
            </w:pPr>
            <w:r w:rsidRPr="00EC036A">
              <w:rPr>
                <w:rFonts w:ascii="Times New Roman" w:eastAsia="Calibri" w:hAnsi="Times New Roman" w:cs="Times New Roman"/>
                <w:b/>
                <w:sz w:val="21"/>
                <w:szCs w:val="21"/>
              </w:rPr>
              <w:t>Pjesërisht pranuar</w:t>
            </w:r>
          </w:p>
        </w:tc>
        <w:tc>
          <w:tcPr>
            <w:tcW w:w="4349" w:type="dxa"/>
            <w:tcBorders>
              <w:bottom w:val="single" w:sz="4" w:space="0" w:color="auto"/>
            </w:tcBorders>
          </w:tcPr>
          <w:p w14:paraId="5D6690E2" w14:textId="77777777" w:rsidR="008E5836" w:rsidRPr="008E5836" w:rsidRDefault="008E5836" w:rsidP="008E5836">
            <w:pPr>
              <w:jc w:val="both"/>
              <w:rPr>
                <w:rFonts w:ascii="Times New Roman" w:eastAsia="Calibri" w:hAnsi="Times New Roman" w:cs="Times New Roman"/>
                <w:sz w:val="21"/>
                <w:szCs w:val="21"/>
              </w:rPr>
            </w:pPr>
            <w:r w:rsidRPr="008E5836">
              <w:rPr>
                <w:rFonts w:ascii="Times New Roman" w:eastAsia="Calibri" w:hAnsi="Times New Roman" w:cs="Times New Roman"/>
                <w:sz w:val="21"/>
                <w:szCs w:val="21"/>
              </w:rPr>
              <w:t xml:space="preserve">Duke pasur parasysh strukturën e Planit Kombëtar të Veprimit 2026–2028, indikatorët e detajuar nuk janë pjesë e këtij dokumenti strategjik. Indikatorët për këtë zotim do të përcaktohen në kuadër të Planit të Zbatimit, i cili do të hartohet pas miratimit të Planit të Veprimit. </w:t>
            </w:r>
          </w:p>
          <w:p w14:paraId="42D12264" w14:textId="77777777" w:rsidR="008E5836" w:rsidRPr="008E5836" w:rsidRDefault="008E5836" w:rsidP="008E5836">
            <w:pPr>
              <w:jc w:val="both"/>
              <w:rPr>
                <w:rFonts w:ascii="Times New Roman" w:eastAsia="Calibri" w:hAnsi="Times New Roman" w:cs="Times New Roman"/>
                <w:sz w:val="21"/>
                <w:szCs w:val="21"/>
              </w:rPr>
            </w:pPr>
          </w:p>
          <w:p w14:paraId="6C212C91" w14:textId="77777777" w:rsidR="008E5836" w:rsidRPr="008E5836" w:rsidRDefault="008E5836" w:rsidP="008E5836">
            <w:pPr>
              <w:jc w:val="both"/>
              <w:rPr>
                <w:rFonts w:ascii="Times New Roman" w:eastAsia="Calibri" w:hAnsi="Times New Roman" w:cs="Times New Roman"/>
                <w:sz w:val="21"/>
                <w:szCs w:val="21"/>
              </w:rPr>
            </w:pPr>
            <w:r w:rsidRPr="008E5836">
              <w:rPr>
                <w:rFonts w:ascii="Times New Roman" w:eastAsia="Calibri" w:hAnsi="Times New Roman" w:cs="Times New Roman"/>
                <w:sz w:val="21"/>
                <w:szCs w:val="21"/>
              </w:rPr>
              <w:t xml:space="preserve">Format dhe parimet e publikimit të dokumenteve publike janë të rregulluara me legjislacionin në fuqi, i cili përcakton obligimet përkatëse. Ndërsa mekanizmi i monitorimit është planifikuar të zhvillohet si një praktikë e brendshme për mbështetjen dhe përmirësimin e zbatimit të publikimit </w:t>
            </w:r>
            <w:proofErr w:type="spellStart"/>
            <w:r w:rsidRPr="008E5836">
              <w:rPr>
                <w:rFonts w:ascii="Times New Roman" w:eastAsia="Calibri" w:hAnsi="Times New Roman" w:cs="Times New Roman"/>
                <w:sz w:val="21"/>
                <w:szCs w:val="21"/>
              </w:rPr>
              <w:t>proaktiv</w:t>
            </w:r>
            <w:proofErr w:type="spellEnd"/>
            <w:r w:rsidRPr="008E5836">
              <w:rPr>
                <w:rFonts w:ascii="Times New Roman" w:eastAsia="Calibri" w:hAnsi="Times New Roman" w:cs="Times New Roman"/>
                <w:sz w:val="21"/>
                <w:szCs w:val="21"/>
              </w:rPr>
              <w:t xml:space="preserve">, duke shërbyer si një mekanizëm për përmirësim dhe avancim të mëtejshëm. </w:t>
            </w:r>
          </w:p>
          <w:p w14:paraId="4FB7B980" w14:textId="77777777" w:rsidR="008E5836" w:rsidRPr="008E5836" w:rsidRDefault="008E5836" w:rsidP="008E5836">
            <w:pPr>
              <w:jc w:val="both"/>
              <w:rPr>
                <w:rFonts w:ascii="Times New Roman" w:eastAsia="Calibri" w:hAnsi="Times New Roman" w:cs="Times New Roman"/>
                <w:sz w:val="21"/>
                <w:szCs w:val="21"/>
              </w:rPr>
            </w:pPr>
          </w:p>
          <w:p w14:paraId="56544308" w14:textId="77777777" w:rsidR="008E5836" w:rsidRPr="008E5836" w:rsidRDefault="008E5836" w:rsidP="008E5836">
            <w:pPr>
              <w:jc w:val="both"/>
              <w:rPr>
                <w:rFonts w:ascii="Times New Roman" w:eastAsia="Calibri" w:hAnsi="Times New Roman" w:cs="Times New Roman"/>
                <w:sz w:val="21"/>
                <w:szCs w:val="21"/>
              </w:rPr>
            </w:pPr>
            <w:r w:rsidRPr="008E5836">
              <w:rPr>
                <w:rFonts w:ascii="Times New Roman" w:eastAsia="Calibri" w:hAnsi="Times New Roman" w:cs="Times New Roman"/>
                <w:sz w:val="21"/>
                <w:szCs w:val="21"/>
              </w:rPr>
              <w:t>Megjithatë, elementet shtesë të indikatorëve të monitorimit mund të trajtohen në kuadër të fazave të ardhshme të zbatimit, në përputhje me kapacitetet institucionale.</w:t>
            </w:r>
          </w:p>
          <w:p w14:paraId="799C7A72" w14:textId="77777777" w:rsidR="008E5836" w:rsidRPr="008E5836" w:rsidRDefault="008E5836" w:rsidP="008E5836">
            <w:pPr>
              <w:jc w:val="both"/>
              <w:rPr>
                <w:rFonts w:ascii="Times New Roman" w:eastAsia="Calibri" w:hAnsi="Times New Roman" w:cs="Times New Roman"/>
                <w:sz w:val="21"/>
                <w:szCs w:val="21"/>
              </w:rPr>
            </w:pPr>
            <w:r w:rsidRPr="008E5836">
              <w:rPr>
                <w:rFonts w:ascii="Times New Roman" w:eastAsia="Times New Roman" w:hAnsi="Times New Roman" w:cs="Times New Roman"/>
                <w:sz w:val="21"/>
                <w:szCs w:val="21"/>
                <w:lang w:val="en-US" w:eastAsia="en-US"/>
              </w:rPr>
              <w:br/>
            </w:r>
            <w:r w:rsidRPr="008E5836">
              <w:rPr>
                <w:rFonts w:ascii="Times New Roman" w:eastAsia="Calibri" w:hAnsi="Times New Roman" w:cs="Times New Roman"/>
                <w:sz w:val="21"/>
                <w:szCs w:val="21"/>
              </w:rPr>
              <w:t>Statusi:</w:t>
            </w:r>
          </w:p>
          <w:p w14:paraId="031260E0" w14:textId="77777777" w:rsidR="008E5836" w:rsidRPr="008E5836" w:rsidRDefault="008E5836" w:rsidP="008E5836">
            <w:pPr>
              <w:jc w:val="both"/>
              <w:rPr>
                <w:rFonts w:ascii="Times New Roman" w:eastAsia="Calibri" w:hAnsi="Times New Roman" w:cs="Times New Roman"/>
                <w:sz w:val="21"/>
                <w:szCs w:val="21"/>
              </w:rPr>
            </w:pPr>
            <w:r w:rsidRPr="008E5836">
              <w:rPr>
                <w:rFonts w:ascii="Times New Roman" w:eastAsia="Calibri" w:hAnsi="Times New Roman" w:cs="Times New Roman"/>
                <w:sz w:val="21"/>
                <w:szCs w:val="21"/>
              </w:rPr>
              <w:t>Pjesërisht i adresuar / në shqyrtim</w:t>
            </w:r>
          </w:p>
          <w:p w14:paraId="379C55A0" w14:textId="5A3C7BCF" w:rsidR="00EC036A" w:rsidRPr="008E5836" w:rsidRDefault="00EC036A" w:rsidP="008E5836">
            <w:pPr>
              <w:jc w:val="both"/>
              <w:rPr>
                <w:rFonts w:ascii="Times New Roman" w:eastAsia="Calibri" w:hAnsi="Times New Roman" w:cs="Times New Roman"/>
                <w:sz w:val="21"/>
                <w:szCs w:val="21"/>
              </w:rPr>
            </w:pPr>
          </w:p>
        </w:tc>
      </w:tr>
      <w:tr w:rsidR="00EC036A" w:rsidRPr="00621CF2" w14:paraId="73517977" w14:textId="77777777" w:rsidTr="00E22A47">
        <w:trPr>
          <w:trHeight w:val="2958"/>
        </w:trPr>
        <w:tc>
          <w:tcPr>
            <w:tcW w:w="2065" w:type="dxa"/>
          </w:tcPr>
          <w:p w14:paraId="575DA704" w14:textId="7F4DDF8A" w:rsidR="00EC036A" w:rsidRPr="00EC036A" w:rsidRDefault="00EC036A" w:rsidP="00E22A47">
            <w:pPr>
              <w:pStyle w:val="p1"/>
              <w:rPr>
                <w:rStyle w:val="s1"/>
                <w:rFonts w:ascii="Times New Roman" w:hAnsi="Times New Roman"/>
                <w:b/>
                <w:sz w:val="21"/>
                <w:szCs w:val="21"/>
              </w:rPr>
            </w:pPr>
            <w:r w:rsidRPr="00EC036A">
              <w:rPr>
                <w:rFonts w:ascii="Times New Roman" w:hAnsi="Times New Roman"/>
                <w:b/>
                <w:sz w:val="21"/>
                <w:szCs w:val="21"/>
              </w:rPr>
              <w:lastRenderedPageBreak/>
              <w:t>Zotimi 3</w:t>
            </w:r>
            <w:r w:rsidR="00E22A47">
              <w:rPr>
                <w:rFonts w:ascii="Times New Roman" w:hAnsi="Times New Roman"/>
                <w:b/>
                <w:sz w:val="21"/>
                <w:szCs w:val="21"/>
              </w:rPr>
              <w:t xml:space="preserve">: </w:t>
            </w:r>
            <w:r w:rsidRPr="00EC036A">
              <w:rPr>
                <w:rFonts w:ascii="Times New Roman" w:hAnsi="Times New Roman"/>
                <w:b/>
                <w:sz w:val="21"/>
                <w:szCs w:val="21"/>
              </w:rPr>
              <w:t xml:space="preserve">Standardizimi dhe përmirësimi i publikimit </w:t>
            </w:r>
            <w:proofErr w:type="spellStart"/>
            <w:r w:rsidRPr="00EC036A">
              <w:rPr>
                <w:rFonts w:ascii="Times New Roman" w:hAnsi="Times New Roman"/>
                <w:b/>
                <w:sz w:val="21"/>
                <w:szCs w:val="21"/>
              </w:rPr>
              <w:t>proaktiv</w:t>
            </w:r>
            <w:proofErr w:type="spellEnd"/>
            <w:r w:rsidRPr="00EC036A">
              <w:rPr>
                <w:rFonts w:ascii="Times New Roman" w:hAnsi="Times New Roman"/>
                <w:b/>
                <w:sz w:val="21"/>
                <w:szCs w:val="21"/>
              </w:rPr>
              <w:t xml:space="preserve"> të dokumenteve dhe monitorimi i të dhënave të hapura</w:t>
            </w:r>
          </w:p>
        </w:tc>
        <w:tc>
          <w:tcPr>
            <w:tcW w:w="5490" w:type="dxa"/>
            <w:tcBorders>
              <w:bottom w:val="single" w:sz="4" w:space="0" w:color="auto"/>
            </w:tcBorders>
          </w:tcPr>
          <w:p w14:paraId="16BF0306" w14:textId="77777777" w:rsidR="00EC036A" w:rsidRPr="00EC036A" w:rsidRDefault="00EC036A" w:rsidP="00EC036A">
            <w:pPr>
              <w:pStyle w:val="p1"/>
              <w:jc w:val="both"/>
              <w:rPr>
                <w:rFonts w:ascii="Times New Roman" w:hAnsi="Times New Roman"/>
                <w:sz w:val="21"/>
                <w:szCs w:val="21"/>
              </w:rPr>
            </w:pPr>
            <w:r w:rsidRPr="00EC036A">
              <w:rPr>
                <w:rFonts w:ascii="Times New Roman" w:hAnsi="Times New Roman"/>
                <w:sz w:val="21"/>
                <w:szCs w:val="21"/>
              </w:rPr>
              <w:t xml:space="preserve">Rekomandohet riformulimi i zotimit duke adresuar drejtpërdrejt publikimin e dokumenteve me interes të lartë publik dhe përfshirjen e masave konkrete për të dhënat e hapura. Gjithashtu, të përcaktohen indikatorë të matshëm, si: përqindja e </w:t>
            </w:r>
            <w:proofErr w:type="spellStart"/>
            <w:r w:rsidRPr="00EC036A">
              <w:rPr>
                <w:rFonts w:ascii="Times New Roman" w:hAnsi="Times New Roman"/>
                <w:sz w:val="21"/>
                <w:szCs w:val="21"/>
              </w:rPr>
              <w:t>dataset</w:t>
            </w:r>
            <w:proofErr w:type="spellEnd"/>
            <w:r w:rsidRPr="00EC036A">
              <w:rPr>
                <w:rFonts w:ascii="Times New Roman" w:hAnsi="Times New Roman"/>
                <w:sz w:val="21"/>
                <w:szCs w:val="21"/>
              </w:rPr>
              <w:t xml:space="preserve">-eve të publikuara në format të hapur dhe të </w:t>
            </w:r>
            <w:proofErr w:type="spellStart"/>
            <w:r w:rsidRPr="00EC036A">
              <w:rPr>
                <w:rFonts w:ascii="Times New Roman" w:hAnsi="Times New Roman"/>
                <w:sz w:val="21"/>
                <w:szCs w:val="21"/>
              </w:rPr>
              <w:t>ripërdorshëm</w:t>
            </w:r>
            <w:proofErr w:type="spellEnd"/>
            <w:r w:rsidRPr="00EC036A">
              <w:rPr>
                <w:rFonts w:ascii="Times New Roman" w:hAnsi="Times New Roman"/>
                <w:sz w:val="21"/>
                <w:szCs w:val="21"/>
              </w:rPr>
              <w:t xml:space="preserve">; numri i dokumenteve kyçe të publikuara ndaj totalit (kontrata, raporte financiare, vendime); koha mesatare e publikimit; numri i përdorimeve/shkarkimeve nga publiku; dhe përqindja e institucioneve që publikojnë të dhëna sipas standardeve të </w:t>
            </w:r>
            <w:proofErr w:type="spellStart"/>
            <w:r w:rsidRPr="00EC036A">
              <w:rPr>
                <w:rFonts w:ascii="Times New Roman" w:hAnsi="Times New Roman"/>
                <w:sz w:val="21"/>
                <w:szCs w:val="21"/>
              </w:rPr>
              <w:t>open</w:t>
            </w:r>
            <w:proofErr w:type="spellEnd"/>
            <w:r w:rsidRPr="00EC036A">
              <w:rPr>
                <w:rFonts w:ascii="Times New Roman" w:hAnsi="Times New Roman"/>
                <w:sz w:val="21"/>
                <w:szCs w:val="21"/>
              </w:rPr>
              <w:t xml:space="preserve"> data.</w:t>
            </w:r>
          </w:p>
          <w:p w14:paraId="3EDD3B71" w14:textId="56EFFF30" w:rsidR="00EC036A" w:rsidRPr="00EC036A" w:rsidRDefault="00EC036A" w:rsidP="00EC036A">
            <w:pPr>
              <w:pStyle w:val="p1"/>
              <w:jc w:val="both"/>
              <w:rPr>
                <w:rStyle w:val="s1"/>
                <w:rFonts w:ascii="Times New Roman" w:hAnsi="Times New Roman"/>
                <w:sz w:val="21"/>
                <w:szCs w:val="21"/>
              </w:rPr>
            </w:pPr>
          </w:p>
        </w:tc>
        <w:tc>
          <w:tcPr>
            <w:tcW w:w="1260" w:type="dxa"/>
            <w:tcBorders>
              <w:bottom w:val="single" w:sz="4" w:space="0" w:color="auto"/>
            </w:tcBorders>
          </w:tcPr>
          <w:p w14:paraId="483E229C" w14:textId="4481DC9F" w:rsidR="00EC036A" w:rsidRPr="00EC036A" w:rsidRDefault="00EC036A" w:rsidP="00EC036A">
            <w:pPr>
              <w:jc w:val="both"/>
              <w:rPr>
                <w:rFonts w:ascii="Times New Roman" w:eastAsia="Calibri" w:hAnsi="Times New Roman" w:cs="Times New Roman"/>
                <w:b/>
                <w:sz w:val="21"/>
                <w:szCs w:val="21"/>
              </w:rPr>
            </w:pPr>
            <w:r w:rsidRPr="00EC036A">
              <w:rPr>
                <w:rFonts w:ascii="Times New Roman" w:eastAsia="Calibri" w:hAnsi="Times New Roman" w:cs="Times New Roman"/>
                <w:b/>
                <w:sz w:val="21"/>
                <w:szCs w:val="21"/>
              </w:rPr>
              <w:t>INPO</w:t>
            </w:r>
          </w:p>
        </w:tc>
        <w:tc>
          <w:tcPr>
            <w:tcW w:w="1505" w:type="dxa"/>
            <w:tcBorders>
              <w:bottom w:val="single" w:sz="4" w:space="0" w:color="auto"/>
            </w:tcBorders>
          </w:tcPr>
          <w:p w14:paraId="12C29C3B" w14:textId="53617142" w:rsidR="00EC036A" w:rsidRPr="00EC036A" w:rsidRDefault="00EC036A" w:rsidP="00EC036A">
            <w:pPr>
              <w:jc w:val="both"/>
              <w:rPr>
                <w:rFonts w:ascii="Times New Roman" w:eastAsia="Calibri" w:hAnsi="Times New Roman" w:cs="Times New Roman"/>
                <w:b/>
                <w:sz w:val="21"/>
                <w:szCs w:val="21"/>
              </w:rPr>
            </w:pPr>
            <w:r w:rsidRPr="00EC036A">
              <w:rPr>
                <w:rFonts w:ascii="Times New Roman" w:eastAsia="Calibri" w:hAnsi="Times New Roman" w:cs="Times New Roman"/>
                <w:b/>
                <w:sz w:val="21"/>
                <w:szCs w:val="21"/>
              </w:rPr>
              <w:t>Pjesërisht pranuar</w:t>
            </w:r>
          </w:p>
        </w:tc>
        <w:tc>
          <w:tcPr>
            <w:tcW w:w="4349" w:type="dxa"/>
            <w:tcBorders>
              <w:bottom w:val="single" w:sz="4" w:space="0" w:color="auto"/>
            </w:tcBorders>
          </w:tcPr>
          <w:p w14:paraId="4EF049F1" w14:textId="0C79626D" w:rsidR="00EC036A" w:rsidRPr="00EC036A" w:rsidRDefault="00EC036A" w:rsidP="00EC036A">
            <w:pPr>
              <w:jc w:val="both"/>
              <w:rPr>
                <w:rFonts w:ascii="Times New Roman" w:eastAsia="Calibri" w:hAnsi="Times New Roman" w:cs="Times New Roman"/>
                <w:sz w:val="21"/>
                <w:szCs w:val="21"/>
              </w:rPr>
            </w:pPr>
            <w:r w:rsidRPr="00EC036A">
              <w:rPr>
                <w:rFonts w:ascii="Times New Roman" w:eastAsia="Calibri" w:hAnsi="Times New Roman" w:cs="Times New Roman"/>
                <w:sz w:val="21"/>
                <w:szCs w:val="21"/>
              </w:rPr>
              <w:t xml:space="preserve">Rekomandimi pranohet pjesërisht. Zotimi adreson publikimin </w:t>
            </w:r>
            <w:proofErr w:type="spellStart"/>
            <w:r w:rsidRPr="00EC036A">
              <w:rPr>
                <w:rFonts w:ascii="Times New Roman" w:eastAsia="Calibri" w:hAnsi="Times New Roman" w:cs="Times New Roman"/>
                <w:sz w:val="21"/>
                <w:szCs w:val="21"/>
              </w:rPr>
              <w:t>proaktiv</w:t>
            </w:r>
            <w:proofErr w:type="spellEnd"/>
            <w:r w:rsidRPr="00EC036A">
              <w:rPr>
                <w:rFonts w:ascii="Times New Roman" w:eastAsia="Calibri" w:hAnsi="Times New Roman" w:cs="Times New Roman"/>
                <w:sz w:val="21"/>
                <w:szCs w:val="21"/>
              </w:rPr>
              <w:t xml:space="preserve"> dhe përmirësimin e transparencës, përfshirë elemente që lidhen me të dhënat e hapura, në përputhje me kornizën ligjore dhe prioritetet institucionale. Megjithatë, riformulimi i plotë i zotimit nuk konsiderohet i nevojshëm në këtë fazë. Sa i përket indikatorëve të propozuar, ata do të merren parasysh gjatë hartimit të planit të zbatimit, me qëllim vendosjen e një kornize të matshme dhe të qëndrueshme për monitorimin e progresit.</w:t>
            </w:r>
          </w:p>
        </w:tc>
      </w:tr>
      <w:tr w:rsidR="00EC036A" w:rsidRPr="00621CF2" w14:paraId="24C15E98" w14:textId="77777777" w:rsidTr="00E22A47">
        <w:trPr>
          <w:trHeight w:val="1250"/>
        </w:trPr>
        <w:tc>
          <w:tcPr>
            <w:tcW w:w="2065" w:type="dxa"/>
          </w:tcPr>
          <w:p w14:paraId="0F50C538" w14:textId="06D8842C" w:rsidR="00EC036A" w:rsidRPr="00EC036A" w:rsidRDefault="00EC036A" w:rsidP="00EC036A">
            <w:pPr>
              <w:pStyle w:val="p1"/>
              <w:jc w:val="both"/>
              <w:rPr>
                <w:rStyle w:val="s1"/>
                <w:rFonts w:ascii="Times New Roman" w:hAnsi="Times New Roman"/>
                <w:b/>
                <w:sz w:val="21"/>
                <w:szCs w:val="21"/>
              </w:rPr>
            </w:pPr>
            <w:r w:rsidRPr="00EC036A">
              <w:rPr>
                <w:rFonts w:ascii="Times New Roman" w:hAnsi="Times New Roman"/>
                <w:b/>
                <w:sz w:val="21"/>
                <w:szCs w:val="21"/>
              </w:rPr>
              <w:t xml:space="preserve">Zotimi 4: Rritja e transparencës dhe mbikëqyrjes publike të </w:t>
            </w:r>
            <w:proofErr w:type="spellStart"/>
            <w:r w:rsidRPr="00EC036A">
              <w:rPr>
                <w:rFonts w:ascii="Times New Roman" w:hAnsi="Times New Roman"/>
                <w:b/>
                <w:sz w:val="21"/>
                <w:szCs w:val="21"/>
              </w:rPr>
              <w:t>të</w:t>
            </w:r>
            <w:proofErr w:type="spellEnd"/>
            <w:r w:rsidRPr="00EC036A">
              <w:rPr>
                <w:rFonts w:ascii="Times New Roman" w:hAnsi="Times New Roman"/>
                <w:b/>
                <w:sz w:val="21"/>
                <w:szCs w:val="21"/>
              </w:rPr>
              <w:t xml:space="preserve"> dhënave kundër korrupsionit</w:t>
            </w:r>
            <w:r w:rsidRPr="00EC036A">
              <w:rPr>
                <w:rFonts w:ascii="Times New Roman" w:hAnsi="Times New Roman"/>
                <w:b/>
                <w:sz w:val="21"/>
                <w:szCs w:val="21"/>
              </w:rPr>
              <w:br/>
            </w:r>
          </w:p>
        </w:tc>
        <w:tc>
          <w:tcPr>
            <w:tcW w:w="5490" w:type="dxa"/>
            <w:tcBorders>
              <w:bottom w:val="single" w:sz="4" w:space="0" w:color="auto"/>
            </w:tcBorders>
          </w:tcPr>
          <w:p w14:paraId="28AA9E8E" w14:textId="6197E04C" w:rsidR="00EC036A" w:rsidRPr="00EC036A" w:rsidRDefault="00EC036A" w:rsidP="00EC036A">
            <w:pPr>
              <w:pStyle w:val="p1"/>
              <w:jc w:val="both"/>
              <w:rPr>
                <w:rStyle w:val="s1"/>
                <w:rFonts w:ascii="Times New Roman" w:hAnsi="Times New Roman"/>
                <w:sz w:val="21"/>
                <w:szCs w:val="21"/>
              </w:rPr>
            </w:pPr>
            <w:r w:rsidRPr="00EC036A">
              <w:rPr>
                <w:rFonts w:ascii="Times New Roman" w:hAnsi="Times New Roman"/>
                <w:sz w:val="21"/>
                <w:szCs w:val="21"/>
              </w:rPr>
              <w:t xml:space="preserve">Rekomandohet që të specifikohen qartë llojet e të dhënave  që do të publikohen, standardet e publikimit dhe niveli i </w:t>
            </w:r>
            <w:proofErr w:type="spellStart"/>
            <w:r w:rsidRPr="00EC036A">
              <w:rPr>
                <w:rFonts w:ascii="Times New Roman" w:hAnsi="Times New Roman"/>
                <w:sz w:val="21"/>
                <w:szCs w:val="21"/>
              </w:rPr>
              <w:t>detajimit</w:t>
            </w:r>
            <w:proofErr w:type="spellEnd"/>
            <w:r w:rsidRPr="00EC036A">
              <w:rPr>
                <w:rFonts w:ascii="Times New Roman" w:hAnsi="Times New Roman"/>
                <w:sz w:val="21"/>
                <w:szCs w:val="21"/>
              </w:rPr>
              <w:t xml:space="preserve"> për të siguruar transparencë të plotë dhe të qëndrueshme,  duke krijuar hapësirë për interpretim dhe publikim </w:t>
            </w:r>
            <w:proofErr w:type="spellStart"/>
            <w:r w:rsidRPr="00EC036A">
              <w:rPr>
                <w:rFonts w:ascii="Times New Roman" w:hAnsi="Times New Roman"/>
                <w:sz w:val="21"/>
                <w:szCs w:val="21"/>
              </w:rPr>
              <w:t>selektiv</w:t>
            </w:r>
            <w:proofErr w:type="spellEnd"/>
            <w:r w:rsidRPr="00EC036A">
              <w:rPr>
                <w:rFonts w:ascii="Times New Roman" w:hAnsi="Times New Roman"/>
                <w:sz w:val="21"/>
                <w:szCs w:val="21"/>
              </w:rPr>
              <w:t>.</w:t>
            </w:r>
          </w:p>
        </w:tc>
        <w:tc>
          <w:tcPr>
            <w:tcW w:w="1260" w:type="dxa"/>
            <w:tcBorders>
              <w:bottom w:val="single" w:sz="4" w:space="0" w:color="auto"/>
            </w:tcBorders>
          </w:tcPr>
          <w:p w14:paraId="349183AE" w14:textId="44F9A4FD" w:rsidR="00EC036A" w:rsidRPr="00EC036A" w:rsidRDefault="00EC036A" w:rsidP="00EC036A">
            <w:pPr>
              <w:jc w:val="both"/>
              <w:rPr>
                <w:rFonts w:ascii="Times New Roman" w:eastAsia="Calibri" w:hAnsi="Times New Roman" w:cs="Times New Roman"/>
                <w:b/>
                <w:sz w:val="21"/>
                <w:szCs w:val="21"/>
              </w:rPr>
            </w:pPr>
            <w:r w:rsidRPr="00EC036A">
              <w:rPr>
                <w:rFonts w:ascii="Times New Roman" w:eastAsia="Calibri" w:hAnsi="Times New Roman" w:cs="Times New Roman"/>
                <w:b/>
                <w:sz w:val="21"/>
                <w:szCs w:val="21"/>
              </w:rPr>
              <w:t>INPO</w:t>
            </w:r>
          </w:p>
        </w:tc>
        <w:tc>
          <w:tcPr>
            <w:tcW w:w="1505" w:type="dxa"/>
            <w:tcBorders>
              <w:bottom w:val="single" w:sz="4" w:space="0" w:color="auto"/>
            </w:tcBorders>
          </w:tcPr>
          <w:p w14:paraId="4D7578BC" w14:textId="2A290AA3" w:rsidR="00EC036A" w:rsidRPr="00EC036A" w:rsidRDefault="00EC036A" w:rsidP="00EC036A">
            <w:pPr>
              <w:jc w:val="both"/>
              <w:rPr>
                <w:rFonts w:ascii="Times New Roman" w:eastAsia="Calibri" w:hAnsi="Times New Roman" w:cs="Times New Roman"/>
                <w:b/>
                <w:sz w:val="21"/>
                <w:szCs w:val="21"/>
              </w:rPr>
            </w:pPr>
            <w:r w:rsidRPr="00EC036A">
              <w:rPr>
                <w:rFonts w:ascii="Times New Roman" w:eastAsia="Calibri" w:hAnsi="Times New Roman" w:cs="Times New Roman"/>
                <w:b/>
                <w:sz w:val="21"/>
                <w:szCs w:val="21"/>
              </w:rPr>
              <w:t>Pjesërisht pranuar</w:t>
            </w:r>
          </w:p>
        </w:tc>
        <w:tc>
          <w:tcPr>
            <w:tcW w:w="4349" w:type="dxa"/>
            <w:tcBorders>
              <w:bottom w:val="single" w:sz="4" w:space="0" w:color="auto"/>
            </w:tcBorders>
          </w:tcPr>
          <w:p w14:paraId="2EA5ABED" w14:textId="37FACEB2" w:rsidR="00EC036A" w:rsidRPr="00EC036A" w:rsidRDefault="00EC036A" w:rsidP="00EC036A">
            <w:pPr>
              <w:jc w:val="both"/>
              <w:rPr>
                <w:rFonts w:ascii="Times New Roman" w:eastAsia="Calibri" w:hAnsi="Times New Roman" w:cs="Times New Roman"/>
                <w:sz w:val="21"/>
                <w:szCs w:val="21"/>
              </w:rPr>
            </w:pPr>
            <w:r w:rsidRPr="00EC036A">
              <w:rPr>
                <w:rFonts w:ascii="Times New Roman" w:eastAsia="Calibri" w:hAnsi="Times New Roman" w:cs="Times New Roman"/>
                <w:sz w:val="21"/>
                <w:szCs w:val="21"/>
              </w:rPr>
              <w:t>Rekomandimi pranohet pjesërisht. Struktura e Planit të Veprimit parasheh zotime të veçanta për secilën fushë tematike, për të siguruar qartësi në zbatim dhe përgjegjësi institucionale, prandaj integrimi i këtij zotimi në një kornizë të përgjithshme nuk konsiderohet i nevojshëm. Megjithatë, parimet e transparencës, llogaridhënies dhe përfshirjes së shoqërisë civile do të adresohen më tej gjatë fazës së zbatimit, përfshirë përmes mekanizmave të monitorimit dhe raportimit.</w:t>
            </w:r>
          </w:p>
        </w:tc>
      </w:tr>
      <w:tr w:rsidR="00EC036A" w:rsidRPr="00621CF2" w14:paraId="6B8EEDA6" w14:textId="77777777" w:rsidTr="00E22A47">
        <w:trPr>
          <w:trHeight w:val="3066"/>
        </w:trPr>
        <w:tc>
          <w:tcPr>
            <w:tcW w:w="2065" w:type="dxa"/>
          </w:tcPr>
          <w:p w14:paraId="59D9F9B9" w14:textId="20947387" w:rsidR="00EC036A" w:rsidRPr="00EC036A" w:rsidRDefault="00EC036A" w:rsidP="00EC036A">
            <w:pPr>
              <w:pStyle w:val="p1"/>
              <w:jc w:val="both"/>
              <w:rPr>
                <w:rStyle w:val="s1"/>
                <w:rFonts w:ascii="Times New Roman" w:hAnsi="Times New Roman"/>
                <w:b/>
                <w:sz w:val="21"/>
                <w:szCs w:val="21"/>
              </w:rPr>
            </w:pPr>
            <w:r w:rsidRPr="00EC036A">
              <w:rPr>
                <w:rStyle w:val="s1"/>
                <w:rFonts w:ascii="Times New Roman" w:hAnsi="Times New Roman"/>
                <w:b/>
                <w:sz w:val="21"/>
                <w:szCs w:val="21"/>
              </w:rPr>
              <w:lastRenderedPageBreak/>
              <w:t>Z</w:t>
            </w:r>
            <w:r w:rsidRPr="00EC036A">
              <w:rPr>
                <w:rFonts w:ascii="Times New Roman" w:hAnsi="Times New Roman"/>
                <w:b/>
                <w:sz w:val="21"/>
                <w:szCs w:val="21"/>
              </w:rPr>
              <w:t>otimi 5: Fuqizimi i mekanizmave për koordinim dhe monitorim të zbatimit të Planit të Veprimit për Qeverisje të Hapur 2026-2028</w:t>
            </w:r>
          </w:p>
        </w:tc>
        <w:tc>
          <w:tcPr>
            <w:tcW w:w="5490" w:type="dxa"/>
            <w:tcBorders>
              <w:bottom w:val="single" w:sz="4" w:space="0" w:color="auto"/>
            </w:tcBorders>
          </w:tcPr>
          <w:p w14:paraId="46BC04C8" w14:textId="77777777" w:rsidR="00EC036A" w:rsidRPr="00EC036A" w:rsidRDefault="00EC036A" w:rsidP="00EC036A">
            <w:pPr>
              <w:pStyle w:val="NormalWeb"/>
              <w:jc w:val="both"/>
              <w:rPr>
                <w:sz w:val="21"/>
                <w:szCs w:val="21"/>
              </w:rPr>
            </w:pPr>
            <w:r w:rsidRPr="00EC036A">
              <w:rPr>
                <w:sz w:val="21"/>
                <w:szCs w:val="21"/>
              </w:rPr>
              <w:t>Rekomandohet që ky zotim të integrohet në kornizën e përgjithshme të zbatimit të planit; ndërsa, nëse mbahet si i veçantë, të përforcohet me mekanizma të qartë transparence, llogaridhënieje dhe përfshirjeje aktive të shoqërisë civile dhe publikut në monitorim.</w:t>
            </w:r>
          </w:p>
          <w:p w14:paraId="1A4E0BB8" w14:textId="77777777" w:rsidR="00EC036A" w:rsidRPr="00EC036A" w:rsidRDefault="00EC036A" w:rsidP="00EC036A">
            <w:pPr>
              <w:pStyle w:val="p1"/>
              <w:jc w:val="both"/>
              <w:rPr>
                <w:rStyle w:val="s1"/>
                <w:rFonts w:ascii="Times New Roman" w:hAnsi="Times New Roman"/>
                <w:sz w:val="21"/>
                <w:szCs w:val="21"/>
              </w:rPr>
            </w:pPr>
          </w:p>
        </w:tc>
        <w:tc>
          <w:tcPr>
            <w:tcW w:w="1260" w:type="dxa"/>
            <w:tcBorders>
              <w:bottom w:val="single" w:sz="4" w:space="0" w:color="auto"/>
            </w:tcBorders>
          </w:tcPr>
          <w:p w14:paraId="3F245FB2" w14:textId="074FE74D" w:rsidR="00EC036A" w:rsidRPr="00EC036A" w:rsidRDefault="00EC036A" w:rsidP="00EC036A">
            <w:pPr>
              <w:jc w:val="both"/>
              <w:rPr>
                <w:rFonts w:ascii="Times New Roman" w:eastAsia="Calibri" w:hAnsi="Times New Roman" w:cs="Times New Roman"/>
                <w:b/>
                <w:sz w:val="21"/>
                <w:szCs w:val="21"/>
              </w:rPr>
            </w:pPr>
            <w:r w:rsidRPr="00EC036A">
              <w:rPr>
                <w:rFonts w:ascii="Times New Roman" w:eastAsia="Calibri" w:hAnsi="Times New Roman" w:cs="Times New Roman"/>
                <w:b/>
                <w:sz w:val="21"/>
                <w:szCs w:val="21"/>
              </w:rPr>
              <w:t>INPO</w:t>
            </w:r>
          </w:p>
        </w:tc>
        <w:tc>
          <w:tcPr>
            <w:tcW w:w="1505" w:type="dxa"/>
            <w:tcBorders>
              <w:bottom w:val="single" w:sz="4" w:space="0" w:color="auto"/>
            </w:tcBorders>
          </w:tcPr>
          <w:p w14:paraId="7177FEEF" w14:textId="0389D2E1" w:rsidR="00EC036A" w:rsidRPr="00EC036A" w:rsidRDefault="00EC036A" w:rsidP="00EC036A">
            <w:pPr>
              <w:jc w:val="both"/>
              <w:rPr>
                <w:rFonts w:ascii="Times New Roman" w:eastAsia="Calibri" w:hAnsi="Times New Roman" w:cs="Times New Roman"/>
                <w:b/>
                <w:sz w:val="21"/>
                <w:szCs w:val="21"/>
              </w:rPr>
            </w:pPr>
            <w:r w:rsidRPr="00EC036A">
              <w:rPr>
                <w:rFonts w:ascii="Times New Roman" w:eastAsia="Calibri" w:hAnsi="Times New Roman" w:cs="Times New Roman"/>
                <w:b/>
                <w:sz w:val="21"/>
                <w:szCs w:val="21"/>
              </w:rPr>
              <w:t>Pjesërisht pranuar</w:t>
            </w:r>
          </w:p>
        </w:tc>
        <w:tc>
          <w:tcPr>
            <w:tcW w:w="4349" w:type="dxa"/>
            <w:tcBorders>
              <w:bottom w:val="single" w:sz="4" w:space="0" w:color="auto"/>
            </w:tcBorders>
          </w:tcPr>
          <w:p w14:paraId="237C1DC6" w14:textId="143EFCDC" w:rsidR="00EC036A" w:rsidRPr="00EC036A" w:rsidRDefault="00EC036A" w:rsidP="00EC036A">
            <w:pPr>
              <w:jc w:val="both"/>
              <w:rPr>
                <w:rFonts w:ascii="Times New Roman" w:eastAsia="Calibri" w:hAnsi="Times New Roman" w:cs="Times New Roman"/>
                <w:sz w:val="21"/>
                <w:szCs w:val="21"/>
              </w:rPr>
            </w:pPr>
            <w:r w:rsidRPr="00EC036A">
              <w:rPr>
                <w:rFonts w:ascii="Times New Roman" w:eastAsia="Calibri" w:hAnsi="Times New Roman" w:cs="Times New Roman"/>
                <w:sz w:val="21"/>
                <w:szCs w:val="21"/>
              </w:rPr>
              <w:t>Rekomandimi pranohet pjesërisht. Zotimi është konceptuar si një komponent kyç horizontal që synon forcimin e koordinimit dhe monitorimit të zbatimit të Planit të Veprimit, prandaj ruajtja e tij si zotim i veçantë konsiderohet e nevojshme për të siguruar qartësi dhe përgjegjësi institucionale. Megjithatë, përforcimi i mekanizmave të transparencës, llogaridhënies dhe përfshirjes së shoqërisë civile do të adresohet gjatë fazës së zbatimit, përfshirë përmes mekanizmave të monitorimit dhe raportimit.</w:t>
            </w:r>
          </w:p>
        </w:tc>
      </w:tr>
    </w:tbl>
    <w:p w14:paraId="69AC4CB6" w14:textId="77777777" w:rsidR="00291276" w:rsidRPr="00621CF2" w:rsidRDefault="00291276" w:rsidP="00291276">
      <w:pPr>
        <w:rPr>
          <w:rFonts w:ascii="Times New Roman" w:hAnsi="Times New Roman" w:cs="Times New Roman"/>
          <w:sz w:val="21"/>
          <w:szCs w:val="21"/>
        </w:rPr>
      </w:pPr>
      <w:r w:rsidRPr="00621CF2">
        <w:rPr>
          <w:rFonts w:ascii="Times New Roman" w:hAnsi="Times New Roman" w:cs="Times New Roman"/>
          <w:sz w:val="21"/>
          <w:szCs w:val="21"/>
        </w:rPr>
        <w:br w:type="page"/>
      </w:r>
    </w:p>
    <w:tbl>
      <w:tblPr>
        <w:tblW w:w="0" w:type="auto"/>
        <w:tblInd w:w="-275" w:type="dxa"/>
        <w:tblCellMar>
          <w:top w:w="15" w:type="dxa"/>
          <w:left w:w="15" w:type="dxa"/>
          <w:bottom w:w="15" w:type="dxa"/>
          <w:right w:w="15" w:type="dxa"/>
        </w:tblCellMar>
        <w:tblLook w:val="04A0" w:firstRow="1" w:lastRow="0" w:firstColumn="1" w:lastColumn="0" w:noHBand="0" w:noVBand="1"/>
      </w:tblPr>
      <w:tblGrid>
        <w:gridCol w:w="2156"/>
        <w:gridCol w:w="5771"/>
        <w:gridCol w:w="222"/>
        <w:gridCol w:w="345"/>
        <w:gridCol w:w="3995"/>
      </w:tblGrid>
      <w:tr w:rsidR="00621CF2" w:rsidRPr="00621CF2" w14:paraId="40FBD92F" w14:textId="77777777" w:rsidTr="001E6C45">
        <w:trPr>
          <w:trHeight w:val="5123"/>
        </w:trPr>
        <w:tc>
          <w:tcPr>
            <w:tcW w:w="2156" w:type="dxa"/>
            <w:vMerge w:val="restart"/>
            <w:tcMar>
              <w:top w:w="0" w:type="dxa"/>
              <w:left w:w="108" w:type="dxa"/>
              <w:bottom w:w="0" w:type="dxa"/>
              <w:right w:w="108" w:type="dxa"/>
            </w:tcMar>
          </w:tcPr>
          <w:p w14:paraId="77A2BD52" w14:textId="3C55AFEC" w:rsidR="00DB4BFC" w:rsidRPr="00EC036A" w:rsidRDefault="00DB4BFC" w:rsidP="00A807EE">
            <w:pPr>
              <w:pStyle w:val="NormalWeb"/>
              <w:spacing w:before="0" w:beforeAutospacing="0" w:after="0" w:afterAutospacing="0"/>
              <w:rPr>
                <w:sz w:val="21"/>
                <w:szCs w:val="21"/>
              </w:rPr>
            </w:pPr>
          </w:p>
        </w:tc>
        <w:tc>
          <w:tcPr>
            <w:tcW w:w="5771" w:type="dxa"/>
            <w:tcMar>
              <w:top w:w="0" w:type="dxa"/>
              <w:left w:w="108" w:type="dxa"/>
              <w:bottom w:w="0" w:type="dxa"/>
              <w:right w:w="108" w:type="dxa"/>
            </w:tcMar>
          </w:tcPr>
          <w:p w14:paraId="1D85B58A" w14:textId="0801AB45" w:rsidR="0055173D" w:rsidRPr="00C3345A" w:rsidRDefault="0055173D" w:rsidP="00C3345A">
            <w:pPr>
              <w:pStyle w:val="NormalWeb"/>
              <w:jc w:val="both"/>
              <w:rPr>
                <w:rFonts w:ascii="Book Antiqua" w:hAnsi="Book Antiqua"/>
                <w:sz w:val="22"/>
                <w:szCs w:val="22"/>
              </w:rPr>
            </w:pPr>
          </w:p>
        </w:tc>
        <w:tc>
          <w:tcPr>
            <w:tcW w:w="0" w:type="auto"/>
            <w:tcMar>
              <w:top w:w="0" w:type="dxa"/>
              <w:left w:w="108" w:type="dxa"/>
              <w:bottom w:w="0" w:type="dxa"/>
              <w:right w:w="108" w:type="dxa"/>
            </w:tcMar>
          </w:tcPr>
          <w:p w14:paraId="2D921F2A" w14:textId="673A22CB" w:rsidR="00DB4BFC" w:rsidRPr="00EC036A" w:rsidRDefault="00DB4BFC" w:rsidP="00D6784E">
            <w:pPr>
              <w:pStyle w:val="NormalWeb"/>
              <w:spacing w:before="0" w:beforeAutospacing="0" w:after="0" w:afterAutospacing="0"/>
              <w:rPr>
                <w:sz w:val="21"/>
                <w:szCs w:val="21"/>
              </w:rPr>
            </w:pPr>
          </w:p>
        </w:tc>
        <w:tc>
          <w:tcPr>
            <w:tcW w:w="345" w:type="dxa"/>
            <w:tcMar>
              <w:top w:w="0" w:type="dxa"/>
              <w:left w:w="108" w:type="dxa"/>
              <w:bottom w:w="0" w:type="dxa"/>
              <w:right w:w="108" w:type="dxa"/>
            </w:tcMar>
          </w:tcPr>
          <w:p w14:paraId="59C2524B" w14:textId="77777777" w:rsidR="00DB4BFC" w:rsidRPr="00621CF2" w:rsidRDefault="00DB4BFC" w:rsidP="00D6784E">
            <w:pPr>
              <w:rPr>
                <w:rFonts w:ascii="Times New Roman" w:hAnsi="Times New Roman" w:cs="Times New Roman"/>
                <w:sz w:val="21"/>
                <w:szCs w:val="21"/>
              </w:rPr>
            </w:pPr>
          </w:p>
        </w:tc>
        <w:tc>
          <w:tcPr>
            <w:tcW w:w="3995" w:type="dxa"/>
            <w:tcMar>
              <w:top w:w="0" w:type="dxa"/>
              <w:left w:w="108" w:type="dxa"/>
              <w:bottom w:w="0" w:type="dxa"/>
              <w:right w:w="108" w:type="dxa"/>
            </w:tcMar>
          </w:tcPr>
          <w:p w14:paraId="26DB2A8B" w14:textId="6765D111" w:rsidR="005377A5" w:rsidRPr="00621CF2" w:rsidRDefault="005377A5" w:rsidP="005377A5">
            <w:pPr>
              <w:pStyle w:val="NormalWeb"/>
              <w:jc w:val="both"/>
              <w:rPr>
                <w:sz w:val="21"/>
                <w:szCs w:val="21"/>
              </w:rPr>
            </w:pPr>
          </w:p>
        </w:tc>
      </w:tr>
      <w:tr w:rsidR="00621CF2" w:rsidRPr="00621CF2" w14:paraId="1A965C8C" w14:textId="77777777" w:rsidTr="001E6C45">
        <w:trPr>
          <w:trHeight w:val="7370"/>
        </w:trPr>
        <w:tc>
          <w:tcPr>
            <w:tcW w:w="2156" w:type="dxa"/>
            <w:vMerge/>
            <w:tcMar>
              <w:top w:w="0" w:type="dxa"/>
              <w:left w:w="108" w:type="dxa"/>
              <w:bottom w:w="0" w:type="dxa"/>
              <w:right w:w="108" w:type="dxa"/>
            </w:tcMar>
          </w:tcPr>
          <w:p w14:paraId="5B6D80CE" w14:textId="77777777" w:rsidR="00DB4BFC" w:rsidRPr="00621CF2" w:rsidRDefault="00DB4BFC" w:rsidP="00D6784E">
            <w:pPr>
              <w:pStyle w:val="NormalWeb"/>
              <w:spacing w:before="0" w:beforeAutospacing="0" w:after="0" w:afterAutospacing="0"/>
              <w:jc w:val="center"/>
              <w:rPr>
                <w:b/>
                <w:bCs/>
                <w:sz w:val="20"/>
                <w:szCs w:val="20"/>
              </w:rPr>
            </w:pPr>
          </w:p>
        </w:tc>
        <w:tc>
          <w:tcPr>
            <w:tcW w:w="5771" w:type="dxa"/>
            <w:tcMar>
              <w:top w:w="0" w:type="dxa"/>
              <w:left w:w="108" w:type="dxa"/>
              <w:bottom w:w="0" w:type="dxa"/>
              <w:right w:w="108" w:type="dxa"/>
            </w:tcMar>
          </w:tcPr>
          <w:p w14:paraId="7D55BED1" w14:textId="52C0C3D0" w:rsidR="005028D2" w:rsidRPr="00EC036A" w:rsidRDefault="005028D2" w:rsidP="00C3345A">
            <w:pPr>
              <w:pStyle w:val="NormalWeb"/>
              <w:spacing w:before="0" w:after="0"/>
              <w:jc w:val="both"/>
              <w:rPr>
                <w:sz w:val="21"/>
                <w:szCs w:val="21"/>
              </w:rPr>
            </w:pPr>
          </w:p>
        </w:tc>
        <w:tc>
          <w:tcPr>
            <w:tcW w:w="0" w:type="auto"/>
            <w:tcMar>
              <w:top w:w="0" w:type="dxa"/>
              <w:left w:w="108" w:type="dxa"/>
              <w:bottom w:w="0" w:type="dxa"/>
              <w:right w:w="108" w:type="dxa"/>
            </w:tcMar>
          </w:tcPr>
          <w:p w14:paraId="1A6CF885" w14:textId="3E4AB2F9" w:rsidR="00DB4BFC" w:rsidRPr="00EC036A" w:rsidRDefault="00DB4BFC" w:rsidP="00D6784E">
            <w:pPr>
              <w:pStyle w:val="NormalWeb"/>
              <w:spacing w:before="0" w:after="0"/>
              <w:rPr>
                <w:b/>
                <w:bCs/>
                <w:sz w:val="21"/>
                <w:szCs w:val="21"/>
              </w:rPr>
            </w:pPr>
          </w:p>
        </w:tc>
        <w:tc>
          <w:tcPr>
            <w:tcW w:w="345" w:type="dxa"/>
            <w:tcMar>
              <w:top w:w="0" w:type="dxa"/>
              <w:left w:w="108" w:type="dxa"/>
              <w:bottom w:w="0" w:type="dxa"/>
              <w:right w:w="108" w:type="dxa"/>
            </w:tcMar>
          </w:tcPr>
          <w:p w14:paraId="6186BC57" w14:textId="77777777" w:rsidR="00DB4BFC" w:rsidRPr="00621CF2" w:rsidRDefault="00DB4BFC" w:rsidP="00D6784E">
            <w:pPr>
              <w:rPr>
                <w:rFonts w:ascii="Times New Roman" w:hAnsi="Times New Roman" w:cs="Times New Roman"/>
                <w:sz w:val="20"/>
                <w:szCs w:val="20"/>
              </w:rPr>
            </w:pPr>
          </w:p>
        </w:tc>
        <w:tc>
          <w:tcPr>
            <w:tcW w:w="3995" w:type="dxa"/>
            <w:tcMar>
              <w:top w:w="0" w:type="dxa"/>
              <w:left w:w="108" w:type="dxa"/>
              <w:bottom w:w="0" w:type="dxa"/>
              <w:right w:w="108" w:type="dxa"/>
            </w:tcMar>
          </w:tcPr>
          <w:p w14:paraId="368B333C" w14:textId="4C43FA3E" w:rsidR="00DB4BFC" w:rsidRPr="00C51DC3" w:rsidRDefault="00DB4BFC" w:rsidP="005377A5">
            <w:pPr>
              <w:jc w:val="both"/>
              <w:rPr>
                <w:rFonts w:ascii="Times New Roman" w:hAnsi="Times New Roman" w:cs="Times New Roman"/>
                <w:sz w:val="21"/>
                <w:szCs w:val="21"/>
              </w:rPr>
            </w:pPr>
          </w:p>
        </w:tc>
      </w:tr>
    </w:tbl>
    <w:p w14:paraId="12A14EA1" w14:textId="77777777" w:rsidR="00291276" w:rsidRPr="00621CF2" w:rsidRDefault="00291276" w:rsidP="009E6631">
      <w:pPr>
        <w:rPr>
          <w:rFonts w:ascii="Times New Roman" w:eastAsia="Book Antiqua" w:hAnsi="Times New Roman" w:cs="Times New Roman"/>
          <w:sz w:val="20"/>
          <w:szCs w:val="20"/>
        </w:rPr>
      </w:pPr>
    </w:p>
    <w:sectPr w:rsidR="00291276" w:rsidRPr="00621CF2">
      <w:pgSz w:w="15840" w:h="12240" w:orient="landscape"/>
      <w:pgMar w:top="1797" w:right="1440" w:bottom="17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9B5A8" w14:textId="77777777" w:rsidR="0080268B" w:rsidRDefault="0080268B">
      <w:r>
        <w:separator/>
      </w:r>
    </w:p>
  </w:endnote>
  <w:endnote w:type="continuationSeparator" w:id="0">
    <w:p w14:paraId="7ED66AB6" w14:textId="77777777" w:rsidR="0080268B" w:rsidRDefault="0080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05202" w14:textId="70E45CA6" w:rsidR="004713FB" w:rsidRDefault="004713F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697830">
      <w:rPr>
        <w:noProof/>
        <w:color w:val="000000"/>
      </w:rPr>
      <w:t>3</w:t>
    </w:r>
    <w:r>
      <w:rPr>
        <w:color w:val="000000"/>
      </w:rPr>
      <w:fldChar w:fldCharType="end"/>
    </w:r>
  </w:p>
  <w:p w14:paraId="2D16F30A" w14:textId="77777777" w:rsidR="004713FB" w:rsidRDefault="004713F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221D" w14:textId="77777777" w:rsidR="004713FB" w:rsidRDefault="004713F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807EE">
      <w:rPr>
        <w:noProof/>
        <w:color w:val="000000"/>
      </w:rPr>
      <w:t>12</w:t>
    </w:r>
    <w:r>
      <w:rPr>
        <w:color w:val="000000"/>
      </w:rPr>
      <w:fldChar w:fldCharType="end"/>
    </w:r>
  </w:p>
  <w:p w14:paraId="23EA8D20" w14:textId="77777777" w:rsidR="004713FB" w:rsidRDefault="004713F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6D2CA" w14:textId="77777777" w:rsidR="0080268B" w:rsidRDefault="0080268B">
      <w:r>
        <w:separator/>
      </w:r>
    </w:p>
  </w:footnote>
  <w:footnote w:type="continuationSeparator" w:id="0">
    <w:p w14:paraId="679B1493" w14:textId="77777777" w:rsidR="0080268B" w:rsidRDefault="00802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50ED"/>
    <w:multiLevelType w:val="hybridMultilevel"/>
    <w:tmpl w:val="A86A618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12CC4A88"/>
    <w:multiLevelType w:val="multilevel"/>
    <w:tmpl w:val="04C40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778FE"/>
    <w:multiLevelType w:val="multilevel"/>
    <w:tmpl w:val="38BCDE52"/>
    <w:lvl w:ilvl="0">
      <w:start w:val="1"/>
      <w:numFmt w:val="decimal"/>
      <w:lvlText w:val="%1."/>
      <w:lvlJc w:val="left"/>
      <w:pPr>
        <w:ind w:left="360" w:hanging="360"/>
      </w:pPr>
    </w:lvl>
    <w:lvl w:ilvl="1">
      <w:start w:val="1"/>
      <w:numFmt w:val="decimal"/>
      <w:lvlText w:val="%1.%2."/>
      <w:lvlJc w:val="left"/>
      <w:pPr>
        <w:ind w:left="54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5D41F6"/>
    <w:multiLevelType w:val="hybridMultilevel"/>
    <w:tmpl w:val="8624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4776F"/>
    <w:multiLevelType w:val="multilevel"/>
    <w:tmpl w:val="4836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FB4BC6"/>
    <w:multiLevelType w:val="multilevel"/>
    <w:tmpl w:val="6EE4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D7322"/>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55B4CD6"/>
    <w:multiLevelType w:val="multilevel"/>
    <w:tmpl w:val="02FE0E9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95B17B2"/>
    <w:multiLevelType w:val="multilevel"/>
    <w:tmpl w:val="60F0605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3F48FF"/>
    <w:multiLevelType w:val="multilevel"/>
    <w:tmpl w:val="58B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4F23CA"/>
    <w:multiLevelType w:val="hybridMultilevel"/>
    <w:tmpl w:val="4D1A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6"/>
  </w:num>
  <w:num w:numId="7">
    <w:abstractNumId w:val="9"/>
  </w:num>
  <w:num w:numId="8">
    <w:abstractNumId w:val="4"/>
  </w:num>
  <w:num w:numId="9">
    <w:abstractNumId w:val="1"/>
  </w:num>
  <w:num w:numId="10">
    <w:abstractNumId w:val="0"/>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30E"/>
    <w:rsid w:val="0000019E"/>
    <w:rsid w:val="0000195A"/>
    <w:rsid w:val="00011A5F"/>
    <w:rsid w:val="000344D0"/>
    <w:rsid w:val="000368DB"/>
    <w:rsid w:val="000416A9"/>
    <w:rsid w:val="00051E8D"/>
    <w:rsid w:val="00072E6A"/>
    <w:rsid w:val="000979C7"/>
    <w:rsid w:val="000A1553"/>
    <w:rsid w:val="000A23E1"/>
    <w:rsid w:val="000C0303"/>
    <w:rsid w:val="000C5B16"/>
    <w:rsid w:val="000F1DBB"/>
    <w:rsid w:val="001007ED"/>
    <w:rsid w:val="001024AB"/>
    <w:rsid w:val="00106934"/>
    <w:rsid w:val="0010758B"/>
    <w:rsid w:val="00117615"/>
    <w:rsid w:val="00134A25"/>
    <w:rsid w:val="00150AAA"/>
    <w:rsid w:val="00156BD6"/>
    <w:rsid w:val="00164A59"/>
    <w:rsid w:val="00165434"/>
    <w:rsid w:val="00171450"/>
    <w:rsid w:val="00171DEA"/>
    <w:rsid w:val="00187D49"/>
    <w:rsid w:val="0019193B"/>
    <w:rsid w:val="001C6699"/>
    <w:rsid w:val="001E6C45"/>
    <w:rsid w:val="001F2C9B"/>
    <w:rsid w:val="001F7C1A"/>
    <w:rsid w:val="002120BC"/>
    <w:rsid w:val="00233F81"/>
    <w:rsid w:val="002362E0"/>
    <w:rsid w:val="00290EDD"/>
    <w:rsid w:val="00291276"/>
    <w:rsid w:val="002937FF"/>
    <w:rsid w:val="002C408D"/>
    <w:rsid w:val="002F1369"/>
    <w:rsid w:val="002F5BB4"/>
    <w:rsid w:val="00300B0A"/>
    <w:rsid w:val="003029F7"/>
    <w:rsid w:val="00307DEA"/>
    <w:rsid w:val="00333C62"/>
    <w:rsid w:val="00336CEA"/>
    <w:rsid w:val="003534F1"/>
    <w:rsid w:val="00363A9D"/>
    <w:rsid w:val="00375C07"/>
    <w:rsid w:val="00397D5F"/>
    <w:rsid w:val="003B205A"/>
    <w:rsid w:val="003C165B"/>
    <w:rsid w:val="003D03DC"/>
    <w:rsid w:val="003D32C0"/>
    <w:rsid w:val="003E20C5"/>
    <w:rsid w:val="003E6087"/>
    <w:rsid w:val="00401177"/>
    <w:rsid w:val="00406F85"/>
    <w:rsid w:val="00424128"/>
    <w:rsid w:val="00434231"/>
    <w:rsid w:val="00434467"/>
    <w:rsid w:val="004347CC"/>
    <w:rsid w:val="00434EF7"/>
    <w:rsid w:val="0046782D"/>
    <w:rsid w:val="004713FB"/>
    <w:rsid w:val="0047230E"/>
    <w:rsid w:val="00492B66"/>
    <w:rsid w:val="004B500F"/>
    <w:rsid w:val="004B5869"/>
    <w:rsid w:val="004C11BC"/>
    <w:rsid w:val="004C2396"/>
    <w:rsid w:val="004D459F"/>
    <w:rsid w:val="004E2F8A"/>
    <w:rsid w:val="004F6DF4"/>
    <w:rsid w:val="004F78FB"/>
    <w:rsid w:val="005028D2"/>
    <w:rsid w:val="00502B68"/>
    <w:rsid w:val="005266E5"/>
    <w:rsid w:val="00537075"/>
    <w:rsid w:val="005377A5"/>
    <w:rsid w:val="00542402"/>
    <w:rsid w:val="0055173D"/>
    <w:rsid w:val="005521C1"/>
    <w:rsid w:val="00573758"/>
    <w:rsid w:val="005776A7"/>
    <w:rsid w:val="00584C1A"/>
    <w:rsid w:val="005876FD"/>
    <w:rsid w:val="005B2702"/>
    <w:rsid w:val="005B3AA2"/>
    <w:rsid w:val="005E7F9B"/>
    <w:rsid w:val="006017E1"/>
    <w:rsid w:val="0060500E"/>
    <w:rsid w:val="00614040"/>
    <w:rsid w:val="00621CF2"/>
    <w:rsid w:val="00625313"/>
    <w:rsid w:val="00637C5F"/>
    <w:rsid w:val="00645138"/>
    <w:rsid w:val="00647C72"/>
    <w:rsid w:val="006522E1"/>
    <w:rsid w:val="00655831"/>
    <w:rsid w:val="006574D1"/>
    <w:rsid w:val="006627EE"/>
    <w:rsid w:val="006743BA"/>
    <w:rsid w:val="00675B6C"/>
    <w:rsid w:val="00697766"/>
    <w:rsid w:val="00697830"/>
    <w:rsid w:val="006B0988"/>
    <w:rsid w:val="006B1C4A"/>
    <w:rsid w:val="006B3293"/>
    <w:rsid w:val="006B4104"/>
    <w:rsid w:val="006C6A79"/>
    <w:rsid w:val="0070148A"/>
    <w:rsid w:val="00736619"/>
    <w:rsid w:val="00751ABA"/>
    <w:rsid w:val="0076028B"/>
    <w:rsid w:val="007619F8"/>
    <w:rsid w:val="00766989"/>
    <w:rsid w:val="00771B4D"/>
    <w:rsid w:val="007838A6"/>
    <w:rsid w:val="00790C64"/>
    <w:rsid w:val="00791CC1"/>
    <w:rsid w:val="007A1B7B"/>
    <w:rsid w:val="007A2B38"/>
    <w:rsid w:val="007A3BC7"/>
    <w:rsid w:val="007B0835"/>
    <w:rsid w:val="007D7DA8"/>
    <w:rsid w:val="007F441B"/>
    <w:rsid w:val="0080268B"/>
    <w:rsid w:val="00806117"/>
    <w:rsid w:val="008167BB"/>
    <w:rsid w:val="00826026"/>
    <w:rsid w:val="008400EA"/>
    <w:rsid w:val="008442BF"/>
    <w:rsid w:val="0085154A"/>
    <w:rsid w:val="00854C41"/>
    <w:rsid w:val="00864032"/>
    <w:rsid w:val="00886135"/>
    <w:rsid w:val="008A5916"/>
    <w:rsid w:val="008B4371"/>
    <w:rsid w:val="008B7B26"/>
    <w:rsid w:val="008E5836"/>
    <w:rsid w:val="008E70CC"/>
    <w:rsid w:val="008F2F78"/>
    <w:rsid w:val="008F4CAA"/>
    <w:rsid w:val="008F5F61"/>
    <w:rsid w:val="00910850"/>
    <w:rsid w:val="0093329D"/>
    <w:rsid w:val="00965A2A"/>
    <w:rsid w:val="00980772"/>
    <w:rsid w:val="00985B7B"/>
    <w:rsid w:val="00992F17"/>
    <w:rsid w:val="009A030C"/>
    <w:rsid w:val="009A5394"/>
    <w:rsid w:val="009B2B50"/>
    <w:rsid w:val="009D71E6"/>
    <w:rsid w:val="009E607C"/>
    <w:rsid w:val="009E6631"/>
    <w:rsid w:val="009F2992"/>
    <w:rsid w:val="00A05F2E"/>
    <w:rsid w:val="00A343B1"/>
    <w:rsid w:val="00A34D7A"/>
    <w:rsid w:val="00A57AF7"/>
    <w:rsid w:val="00A62F18"/>
    <w:rsid w:val="00A712CD"/>
    <w:rsid w:val="00A807EE"/>
    <w:rsid w:val="00A849D7"/>
    <w:rsid w:val="00A85095"/>
    <w:rsid w:val="00A90830"/>
    <w:rsid w:val="00AC0485"/>
    <w:rsid w:val="00AC26FD"/>
    <w:rsid w:val="00AC6329"/>
    <w:rsid w:val="00B079BD"/>
    <w:rsid w:val="00B36033"/>
    <w:rsid w:val="00B3701A"/>
    <w:rsid w:val="00B431B8"/>
    <w:rsid w:val="00B70E60"/>
    <w:rsid w:val="00B77C40"/>
    <w:rsid w:val="00B8114B"/>
    <w:rsid w:val="00B966CC"/>
    <w:rsid w:val="00BA04AB"/>
    <w:rsid w:val="00BA7CB2"/>
    <w:rsid w:val="00BB151D"/>
    <w:rsid w:val="00BD0963"/>
    <w:rsid w:val="00BD1318"/>
    <w:rsid w:val="00BD4ED9"/>
    <w:rsid w:val="00BD5B6E"/>
    <w:rsid w:val="00BF702D"/>
    <w:rsid w:val="00C0012C"/>
    <w:rsid w:val="00C03B8E"/>
    <w:rsid w:val="00C22338"/>
    <w:rsid w:val="00C3345A"/>
    <w:rsid w:val="00C507A5"/>
    <w:rsid w:val="00C51DC3"/>
    <w:rsid w:val="00C632BB"/>
    <w:rsid w:val="00C666C5"/>
    <w:rsid w:val="00C74229"/>
    <w:rsid w:val="00C83B07"/>
    <w:rsid w:val="00C8513C"/>
    <w:rsid w:val="00C937A3"/>
    <w:rsid w:val="00C955CF"/>
    <w:rsid w:val="00CB3628"/>
    <w:rsid w:val="00CB3A15"/>
    <w:rsid w:val="00CC2D62"/>
    <w:rsid w:val="00CD4EC5"/>
    <w:rsid w:val="00CD5B3C"/>
    <w:rsid w:val="00CD5F63"/>
    <w:rsid w:val="00CD6B36"/>
    <w:rsid w:val="00CF00A6"/>
    <w:rsid w:val="00CF5222"/>
    <w:rsid w:val="00D2053C"/>
    <w:rsid w:val="00D30C72"/>
    <w:rsid w:val="00D4257F"/>
    <w:rsid w:val="00D50108"/>
    <w:rsid w:val="00D54028"/>
    <w:rsid w:val="00D558AE"/>
    <w:rsid w:val="00D623ED"/>
    <w:rsid w:val="00D6784E"/>
    <w:rsid w:val="00D73E62"/>
    <w:rsid w:val="00D75432"/>
    <w:rsid w:val="00D76607"/>
    <w:rsid w:val="00D87D5D"/>
    <w:rsid w:val="00D91198"/>
    <w:rsid w:val="00D9647B"/>
    <w:rsid w:val="00DA0540"/>
    <w:rsid w:val="00DA45A6"/>
    <w:rsid w:val="00DB1170"/>
    <w:rsid w:val="00DB4BFC"/>
    <w:rsid w:val="00DC533E"/>
    <w:rsid w:val="00DE0F14"/>
    <w:rsid w:val="00E01C05"/>
    <w:rsid w:val="00E0615A"/>
    <w:rsid w:val="00E134A6"/>
    <w:rsid w:val="00E171E2"/>
    <w:rsid w:val="00E22A47"/>
    <w:rsid w:val="00E42B16"/>
    <w:rsid w:val="00E517A1"/>
    <w:rsid w:val="00E8774B"/>
    <w:rsid w:val="00E9276C"/>
    <w:rsid w:val="00EA5FE6"/>
    <w:rsid w:val="00EA7738"/>
    <w:rsid w:val="00EB46F0"/>
    <w:rsid w:val="00EB5D7A"/>
    <w:rsid w:val="00EB60CD"/>
    <w:rsid w:val="00EB675B"/>
    <w:rsid w:val="00EC036A"/>
    <w:rsid w:val="00ED2746"/>
    <w:rsid w:val="00EE53E6"/>
    <w:rsid w:val="00EE5641"/>
    <w:rsid w:val="00EE7ECF"/>
    <w:rsid w:val="00F0060F"/>
    <w:rsid w:val="00F13863"/>
    <w:rsid w:val="00F160CF"/>
    <w:rsid w:val="00F25F79"/>
    <w:rsid w:val="00F27EB5"/>
    <w:rsid w:val="00F3296A"/>
    <w:rsid w:val="00F339CC"/>
    <w:rsid w:val="00F502EC"/>
    <w:rsid w:val="00F60C35"/>
    <w:rsid w:val="00F65693"/>
    <w:rsid w:val="00FB5237"/>
    <w:rsid w:val="00FC077B"/>
    <w:rsid w:val="00FC12E9"/>
    <w:rsid w:val="00FD2839"/>
    <w:rsid w:val="00FD6BFD"/>
    <w:rsid w:val="00FD77B5"/>
    <w:rsid w:val="00FE7D4F"/>
    <w:rsid w:val="00FF1ACC"/>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6D2A2"/>
  <w15:docId w15:val="{06C9B477-F9BB-4AA9-9F0D-BD1560A2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Cambria"/>
        <w:sz w:val="24"/>
        <w:szCs w:val="24"/>
        <w:lang w:val="sq-AL" w:eastAsia="sq-A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Calibri" w:eastAsia="Calibri" w:hAnsi="Calibri" w:cs="Calibri"/>
      <w:color w:val="366091"/>
      <w:sz w:val="32"/>
      <w:szCs w:val="32"/>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jc w:val="center"/>
    </w:pPr>
    <w:rPr>
      <w:rFonts w:ascii="Times New Roman" w:eastAsia="Times New Roman" w:hAnsi="Times New Roman" w:cs="Times New Roman"/>
      <w: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rPr>
      <w:tblPr/>
      <w:tcPr>
        <w:tcBorders>
          <w:bottom w:val="single" w:sz="12"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791CC1"/>
    <w:pPr>
      <w:spacing w:after="160" w:line="254"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6B3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8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992F17"/>
    <w:pPr>
      <w:tabs>
        <w:tab w:val="center" w:pos="4680"/>
        <w:tab w:val="right" w:pos="9360"/>
      </w:tabs>
    </w:pPr>
  </w:style>
  <w:style w:type="character" w:customStyle="1" w:styleId="HeaderChar">
    <w:name w:val="Header Char"/>
    <w:basedOn w:val="DefaultParagraphFont"/>
    <w:link w:val="Header"/>
    <w:uiPriority w:val="99"/>
    <w:rsid w:val="00992F17"/>
  </w:style>
  <w:style w:type="paragraph" w:styleId="Footer">
    <w:name w:val="footer"/>
    <w:basedOn w:val="Normal"/>
    <w:link w:val="FooterChar"/>
    <w:uiPriority w:val="99"/>
    <w:unhideWhenUsed/>
    <w:rsid w:val="00992F17"/>
    <w:pPr>
      <w:tabs>
        <w:tab w:val="center" w:pos="4680"/>
        <w:tab w:val="right" w:pos="9360"/>
      </w:tabs>
    </w:pPr>
  </w:style>
  <w:style w:type="character" w:customStyle="1" w:styleId="FooterChar">
    <w:name w:val="Footer Char"/>
    <w:basedOn w:val="DefaultParagraphFont"/>
    <w:link w:val="Footer"/>
    <w:uiPriority w:val="99"/>
    <w:rsid w:val="00992F17"/>
  </w:style>
  <w:style w:type="character" w:customStyle="1" w:styleId="Heading1Char">
    <w:name w:val="Heading 1 Char"/>
    <w:basedOn w:val="DefaultParagraphFont"/>
    <w:link w:val="Heading1"/>
    <w:uiPriority w:val="9"/>
    <w:rsid w:val="00291276"/>
    <w:rPr>
      <w:rFonts w:ascii="Calibri" w:eastAsia="Calibri" w:hAnsi="Calibri" w:cs="Calibri"/>
      <w:color w:val="366091"/>
      <w:sz w:val="32"/>
      <w:szCs w:val="32"/>
    </w:rPr>
  </w:style>
  <w:style w:type="character" w:customStyle="1" w:styleId="Heading2Char">
    <w:name w:val="Heading 2 Char"/>
    <w:basedOn w:val="DefaultParagraphFont"/>
    <w:link w:val="Heading2"/>
    <w:uiPriority w:val="9"/>
    <w:semiHidden/>
    <w:rsid w:val="00291276"/>
    <w:rPr>
      <w:b/>
      <w:sz w:val="36"/>
      <w:szCs w:val="36"/>
    </w:rPr>
  </w:style>
  <w:style w:type="character" w:customStyle="1" w:styleId="Heading3Char">
    <w:name w:val="Heading 3 Char"/>
    <w:basedOn w:val="DefaultParagraphFont"/>
    <w:link w:val="Heading3"/>
    <w:uiPriority w:val="9"/>
    <w:semiHidden/>
    <w:rsid w:val="00291276"/>
    <w:rPr>
      <w:rFonts w:ascii="Arial" w:eastAsia="Arial" w:hAnsi="Arial" w:cs="Arial"/>
      <w:b/>
      <w:sz w:val="26"/>
      <w:szCs w:val="26"/>
    </w:rPr>
  </w:style>
  <w:style w:type="character" w:customStyle="1" w:styleId="Heading4Char">
    <w:name w:val="Heading 4 Char"/>
    <w:basedOn w:val="DefaultParagraphFont"/>
    <w:link w:val="Heading4"/>
    <w:uiPriority w:val="9"/>
    <w:semiHidden/>
    <w:rsid w:val="00291276"/>
    <w:rPr>
      <w:b/>
    </w:rPr>
  </w:style>
  <w:style w:type="character" w:customStyle="1" w:styleId="Heading5Char">
    <w:name w:val="Heading 5 Char"/>
    <w:basedOn w:val="DefaultParagraphFont"/>
    <w:link w:val="Heading5"/>
    <w:uiPriority w:val="9"/>
    <w:semiHidden/>
    <w:rsid w:val="00291276"/>
    <w:rPr>
      <w:b/>
      <w:sz w:val="22"/>
      <w:szCs w:val="22"/>
    </w:rPr>
  </w:style>
  <w:style w:type="character" w:customStyle="1" w:styleId="Heading6Char">
    <w:name w:val="Heading 6 Char"/>
    <w:basedOn w:val="DefaultParagraphFont"/>
    <w:link w:val="Heading6"/>
    <w:uiPriority w:val="9"/>
    <w:semiHidden/>
    <w:rsid w:val="00291276"/>
    <w:rPr>
      <w:b/>
      <w:sz w:val="20"/>
      <w:szCs w:val="20"/>
    </w:rPr>
  </w:style>
  <w:style w:type="character" w:customStyle="1" w:styleId="TitleChar">
    <w:name w:val="Title Char"/>
    <w:basedOn w:val="DefaultParagraphFont"/>
    <w:link w:val="Title"/>
    <w:uiPriority w:val="10"/>
    <w:rsid w:val="00291276"/>
    <w:rPr>
      <w:rFonts w:ascii="Times New Roman" w:eastAsia="Times New Roman" w:hAnsi="Times New Roman" w:cs="Times New Roman"/>
      <w:b/>
    </w:rPr>
  </w:style>
  <w:style w:type="character" w:customStyle="1" w:styleId="SubtitleChar">
    <w:name w:val="Subtitle Char"/>
    <w:basedOn w:val="DefaultParagraphFont"/>
    <w:link w:val="Subtitle"/>
    <w:uiPriority w:val="11"/>
    <w:rsid w:val="00291276"/>
    <w:rPr>
      <w:rFonts w:ascii="Georgia" w:eastAsia="Georgia" w:hAnsi="Georgia" w:cs="Georgia"/>
      <w:i/>
      <w:color w:val="666666"/>
      <w:sz w:val="48"/>
      <w:szCs w:val="48"/>
    </w:rPr>
  </w:style>
  <w:style w:type="paragraph" w:customStyle="1" w:styleId="p1">
    <w:name w:val="p1"/>
    <w:basedOn w:val="Normal"/>
    <w:rsid w:val="003B205A"/>
    <w:rPr>
      <w:rFonts w:ascii="Helvetica" w:eastAsiaTheme="minorEastAsia" w:hAnsi="Helvetica" w:cs="Times New Roman"/>
      <w:sz w:val="18"/>
      <w:szCs w:val="18"/>
      <w:lang w:eastAsia="en-GB"/>
    </w:rPr>
  </w:style>
  <w:style w:type="character" w:customStyle="1" w:styleId="s1">
    <w:name w:val="s1"/>
    <w:basedOn w:val="DefaultParagraphFont"/>
    <w:rsid w:val="003B205A"/>
    <w:rPr>
      <w:rFonts w:ascii="Helvetica" w:hAnsi="Helvetica" w:hint="default"/>
      <w:b w:val="0"/>
      <w:bCs w:val="0"/>
      <w:i w:val="0"/>
      <w:iCs w:val="0"/>
      <w:sz w:val="18"/>
      <w:szCs w:val="18"/>
    </w:rPr>
  </w:style>
  <w:style w:type="paragraph" w:customStyle="1" w:styleId="li1">
    <w:name w:val="li1"/>
    <w:basedOn w:val="Normal"/>
    <w:rsid w:val="00375C07"/>
    <w:rPr>
      <w:rFonts w:ascii="Helvetica" w:eastAsiaTheme="minorEastAsia" w:hAnsi="Helvetica" w:cs="Times New Roman"/>
      <w:sz w:val="18"/>
      <w:szCs w:val="18"/>
      <w:lang w:eastAsia="en-GB"/>
    </w:rPr>
  </w:style>
  <w:style w:type="paragraph" w:customStyle="1" w:styleId="p2">
    <w:name w:val="p2"/>
    <w:basedOn w:val="Normal"/>
    <w:rsid w:val="00CF00A6"/>
    <w:pPr>
      <w:spacing w:before="100" w:beforeAutospacing="1" w:after="100" w:afterAutospacing="1"/>
    </w:pPr>
    <w:rPr>
      <w:rFonts w:ascii="Times New Roman" w:eastAsiaTheme="minorEastAsia" w:hAnsi="Times New Roman" w:cs="Times New Roman"/>
      <w:lang w:eastAsia="en-GB"/>
    </w:rPr>
  </w:style>
  <w:style w:type="character" w:styleId="CommentReference">
    <w:name w:val="annotation reference"/>
    <w:basedOn w:val="DefaultParagraphFont"/>
    <w:uiPriority w:val="99"/>
    <w:semiHidden/>
    <w:unhideWhenUsed/>
    <w:rsid w:val="00E42B16"/>
    <w:rPr>
      <w:sz w:val="16"/>
      <w:szCs w:val="16"/>
    </w:rPr>
  </w:style>
  <w:style w:type="paragraph" w:styleId="CommentText">
    <w:name w:val="annotation text"/>
    <w:basedOn w:val="Normal"/>
    <w:link w:val="CommentTextChar"/>
    <w:uiPriority w:val="99"/>
    <w:semiHidden/>
    <w:unhideWhenUsed/>
    <w:rsid w:val="00E42B16"/>
    <w:rPr>
      <w:sz w:val="20"/>
      <w:szCs w:val="20"/>
    </w:rPr>
  </w:style>
  <w:style w:type="character" w:customStyle="1" w:styleId="CommentTextChar">
    <w:name w:val="Comment Text Char"/>
    <w:basedOn w:val="DefaultParagraphFont"/>
    <w:link w:val="CommentText"/>
    <w:uiPriority w:val="99"/>
    <w:semiHidden/>
    <w:rsid w:val="00E42B16"/>
    <w:rPr>
      <w:sz w:val="20"/>
      <w:szCs w:val="20"/>
    </w:rPr>
  </w:style>
  <w:style w:type="paragraph" w:styleId="CommentSubject">
    <w:name w:val="annotation subject"/>
    <w:basedOn w:val="CommentText"/>
    <w:next w:val="CommentText"/>
    <w:link w:val="CommentSubjectChar"/>
    <w:uiPriority w:val="99"/>
    <w:semiHidden/>
    <w:unhideWhenUsed/>
    <w:rsid w:val="00E42B16"/>
    <w:rPr>
      <w:b/>
      <w:bCs/>
    </w:rPr>
  </w:style>
  <w:style w:type="character" w:customStyle="1" w:styleId="CommentSubjectChar">
    <w:name w:val="Comment Subject Char"/>
    <w:basedOn w:val="CommentTextChar"/>
    <w:link w:val="CommentSubject"/>
    <w:uiPriority w:val="99"/>
    <w:semiHidden/>
    <w:rsid w:val="00E42B16"/>
    <w:rPr>
      <w:b/>
      <w:bCs/>
      <w:sz w:val="20"/>
      <w:szCs w:val="20"/>
    </w:rPr>
  </w:style>
  <w:style w:type="paragraph" w:styleId="BalloonText">
    <w:name w:val="Balloon Text"/>
    <w:basedOn w:val="Normal"/>
    <w:link w:val="BalloonTextChar"/>
    <w:uiPriority w:val="99"/>
    <w:semiHidden/>
    <w:unhideWhenUsed/>
    <w:rsid w:val="00E42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B16"/>
    <w:rPr>
      <w:rFonts w:ascii="Segoe UI" w:hAnsi="Segoe UI" w:cs="Segoe UI"/>
      <w:sz w:val="18"/>
      <w:szCs w:val="18"/>
    </w:rPr>
  </w:style>
  <w:style w:type="character" w:styleId="Strong">
    <w:name w:val="Strong"/>
    <w:basedOn w:val="DefaultParagraphFont"/>
    <w:uiPriority w:val="22"/>
    <w:qFormat/>
    <w:rsid w:val="00C33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8551">
      <w:bodyDiv w:val="1"/>
      <w:marLeft w:val="0"/>
      <w:marRight w:val="0"/>
      <w:marTop w:val="0"/>
      <w:marBottom w:val="0"/>
      <w:divBdr>
        <w:top w:val="none" w:sz="0" w:space="0" w:color="auto"/>
        <w:left w:val="none" w:sz="0" w:space="0" w:color="auto"/>
        <w:bottom w:val="none" w:sz="0" w:space="0" w:color="auto"/>
        <w:right w:val="none" w:sz="0" w:space="0" w:color="auto"/>
      </w:divBdr>
      <w:divsChild>
        <w:div w:id="668025345">
          <w:marLeft w:val="0"/>
          <w:marRight w:val="0"/>
          <w:marTop w:val="280"/>
          <w:marBottom w:val="280"/>
          <w:divBdr>
            <w:top w:val="none" w:sz="0" w:space="0" w:color="auto"/>
            <w:left w:val="none" w:sz="0" w:space="0" w:color="auto"/>
            <w:bottom w:val="none" w:sz="0" w:space="0" w:color="auto"/>
            <w:right w:val="none" w:sz="0" w:space="0" w:color="auto"/>
          </w:divBdr>
        </w:div>
        <w:div w:id="934482231">
          <w:marLeft w:val="0"/>
          <w:marRight w:val="0"/>
          <w:marTop w:val="280"/>
          <w:marBottom w:val="280"/>
          <w:divBdr>
            <w:top w:val="none" w:sz="0" w:space="0" w:color="auto"/>
            <w:left w:val="none" w:sz="0" w:space="0" w:color="auto"/>
            <w:bottom w:val="none" w:sz="0" w:space="0" w:color="auto"/>
            <w:right w:val="none" w:sz="0" w:space="0" w:color="auto"/>
          </w:divBdr>
        </w:div>
      </w:divsChild>
    </w:div>
    <w:div w:id="193736577">
      <w:bodyDiv w:val="1"/>
      <w:marLeft w:val="0"/>
      <w:marRight w:val="0"/>
      <w:marTop w:val="0"/>
      <w:marBottom w:val="0"/>
      <w:divBdr>
        <w:top w:val="none" w:sz="0" w:space="0" w:color="auto"/>
        <w:left w:val="none" w:sz="0" w:space="0" w:color="auto"/>
        <w:bottom w:val="none" w:sz="0" w:space="0" w:color="auto"/>
        <w:right w:val="none" w:sz="0" w:space="0" w:color="auto"/>
      </w:divBdr>
    </w:div>
    <w:div w:id="251280325">
      <w:bodyDiv w:val="1"/>
      <w:marLeft w:val="0"/>
      <w:marRight w:val="0"/>
      <w:marTop w:val="0"/>
      <w:marBottom w:val="0"/>
      <w:divBdr>
        <w:top w:val="none" w:sz="0" w:space="0" w:color="auto"/>
        <w:left w:val="none" w:sz="0" w:space="0" w:color="auto"/>
        <w:bottom w:val="none" w:sz="0" w:space="0" w:color="auto"/>
        <w:right w:val="none" w:sz="0" w:space="0" w:color="auto"/>
      </w:divBdr>
      <w:divsChild>
        <w:div w:id="1632131290">
          <w:marLeft w:val="0"/>
          <w:marRight w:val="0"/>
          <w:marTop w:val="0"/>
          <w:marBottom w:val="0"/>
          <w:divBdr>
            <w:top w:val="none" w:sz="0" w:space="0" w:color="auto"/>
            <w:left w:val="none" w:sz="0" w:space="0" w:color="auto"/>
            <w:bottom w:val="none" w:sz="0" w:space="0" w:color="auto"/>
            <w:right w:val="none" w:sz="0" w:space="0" w:color="auto"/>
          </w:divBdr>
        </w:div>
        <w:div w:id="1145123777">
          <w:marLeft w:val="0"/>
          <w:marRight w:val="0"/>
          <w:marTop w:val="0"/>
          <w:marBottom w:val="0"/>
          <w:divBdr>
            <w:top w:val="none" w:sz="0" w:space="0" w:color="auto"/>
            <w:left w:val="none" w:sz="0" w:space="0" w:color="auto"/>
            <w:bottom w:val="none" w:sz="0" w:space="0" w:color="auto"/>
            <w:right w:val="none" w:sz="0" w:space="0" w:color="auto"/>
          </w:divBdr>
        </w:div>
        <w:div w:id="252670080">
          <w:marLeft w:val="0"/>
          <w:marRight w:val="0"/>
          <w:marTop w:val="0"/>
          <w:marBottom w:val="0"/>
          <w:divBdr>
            <w:top w:val="none" w:sz="0" w:space="0" w:color="auto"/>
            <w:left w:val="none" w:sz="0" w:space="0" w:color="auto"/>
            <w:bottom w:val="none" w:sz="0" w:space="0" w:color="auto"/>
            <w:right w:val="none" w:sz="0" w:space="0" w:color="auto"/>
          </w:divBdr>
        </w:div>
        <w:div w:id="75398499">
          <w:marLeft w:val="0"/>
          <w:marRight w:val="0"/>
          <w:marTop w:val="0"/>
          <w:marBottom w:val="0"/>
          <w:divBdr>
            <w:top w:val="none" w:sz="0" w:space="0" w:color="auto"/>
            <w:left w:val="none" w:sz="0" w:space="0" w:color="auto"/>
            <w:bottom w:val="none" w:sz="0" w:space="0" w:color="auto"/>
            <w:right w:val="none" w:sz="0" w:space="0" w:color="auto"/>
          </w:divBdr>
        </w:div>
        <w:div w:id="2015374588">
          <w:marLeft w:val="0"/>
          <w:marRight w:val="0"/>
          <w:marTop w:val="0"/>
          <w:marBottom w:val="0"/>
          <w:divBdr>
            <w:top w:val="none" w:sz="0" w:space="0" w:color="auto"/>
            <w:left w:val="none" w:sz="0" w:space="0" w:color="auto"/>
            <w:bottom w:val="none" w:sz="0" w:space="0" w:color="auto"/>
            <w:right w:val="none" w:sz="0" w:space="0" w:color="auto"/>
          </w:divBdr>
        </w:div>
        <w:div w:id="1476490515">
          <w:marLeft w:val="0"/>
          <w:marRight w:val="0"/>
          <w:marTop w:val="0"/>
          <w:marBottom w:val="0"/>
          <w:divBdr>
            <w:top w:val="none" w:sz="0" w:space="0" w:color="auto"/>
            <w:left w:val="none" w:sz="0" w:space="0" w:color="auto"/>
            <w:bottom w:val="none" w:sz="0" w:space="0" w:color="auto"/>
            <w:right w:val="none" w:sz="0" w:space="0" w:color="auto"/>
          </w:divBdr>
        </w:div>
        <w:div w:id="1955400602">
          <w:marLeft w:val="0"/>
          <w:marRight w:val="0"/>
          <w:marTop w:val="0"/>
          <w:marBottom w:val="0"/>
          <w:divBdr>
            <w:top w:val="none" w:sz="0" w:space="0" w:color="auto"/>
            <w:left w:val="none" w:sz="0" w:space="0" w:color="auto"/>
            <w:bottom w:val="none" w:sz="0" w:space="0" w:color="auto"/>
            <w:right w:val="none" w:sz="0" w:space="0" w:color="auto"/>
          </w:divBdr>
        </w:div>
      </w:divsChild>
    </w:div>
    <w:div w:id="559946480">
      <w:bodyDiv w:val="1"/>
      <w:marLeft w:val="0"/>
      <w:marRight w:val="0"/>
      <w:marTop w:val="0"/>
      <w:marBottom w:val="0"/>
      <w:divBdr>
        <w:top w:val="none" w:sz="0" w:space="0" w:color="auto"/>
        <w:left w:val="none" w:sz="0" w:space="0" w:color="auto"/>
        <w:bottom w:val="none" w:sz="0" w:space="0" w:color="auto"/>
        <w:right w:val="none" w:sz="0" w:space="0" w:color="auto"/>
      </w:divBdr>
    </w:div>
    <w:div w:id="563830160">
      <w:bodyDiv w:val="1"/>
      <w:marLeft w:val="0"/>
      <w:marRight w:val="0"/>
      <w:marTop w:val="0"/>
      <w:marBottom w:val="0"/>
      <w:divBdr>
        <w:top w:val="none" w:sz="0" w:space="0" w:color="auto"/>
        <w:left w:val="none" w:sz="0" w:space="0" w:color="auto"/>
        <w:bottom w:val="none" w:sz="0" w:space="0" w:color="auto"/>
        <w:right w:val="none" w:sz="0" w:space="0" w:color="auto"/>
      </w:divBdr>
      <w:divsChild>
        <w:div w:id="2032678960">
          <w:marLeft w:val="0"/>
          <w:marRight w:val="0"/>
          <w:marTop w:val="0"/>
          <w:marBottom w:val="0"/>
          <w:divBdr>
            <w:top w:val="none" w:sz="0" w:space="0" w:color="auto"/>
            <w:left w:val="none" w:sz="0" w:space="0" w:color="auto"/>
            <w:bottom w:val="none" w:sz="0" w:space="0" w:color="auto"/>
            <w:right w:val="none" w:sz="0" w:space="0" w:color="auto"/>
          </w:divBdr>
          <w:divsChild>
            <w:div w:id="1587299102">
              <w:marLeft w:val="0"/>
              <w:marRight w:val="0"/>
              <w:marTop w:val="0"/>
              <w:marBottom w:val="0"/>
              <w:divBdr>
                <w:top w:val="none" w:sz="0" w:space="0" w:color="auto"/>
                <w:left w:val="none" w:sz="0" w:space="0" w:color="auto"/>
                <w:bottom w:val="none" w:sz="0" w:space="0" w:color="auto"/>
                <w:right w:val="none" w:sz="0" w:space="0" w:color="auto"/>
              </w:divBdr>
              <w:divsChild>
                <w:div w:id="888760159">
                  <w:marLeft w:val="0"/>
                  <w:marRight w:val="0"/>
                  <w:marTop w:val="0"/>
                  <w:marBottom w:val="0"/>
                  <w:divBdr>
                    <w:top w:val="none" w:sz="0" w:space="0" w:color="auto"/>
                    <w:left w:val="none" w:sz="0" w:space="0" w:color="auto"/>
                    <w:bottom w:val="none" w:sz="0" w:space="0" w:color="auto"/>
                    <w:right w:val="none" w:sz="0" w:space="0" w:color="auto"/>
                  </w:divBdr>
                  <w:divsChild>
                    <w:div w:id="748774285">
                      <w:marLeft w:val="0"/>
                      <w:marRight w:val="0"/>
                      <w:marTop w:val="0"/>
                      <w:marBottom w:val="0"/>
                      <w:divBdr>
                        <w:top w:val="none" w:sz="0" w:space="0" w:color="auto"/>
                        <w:left w:val="none" w:sz="0" w:space="0" w:color="auto"/>
                        <w:bottom w:val="none" w:sz="0" w:space="0" w:color="auto"/>
                        <w:right w:val="none" w:sz="0" w:space="0" w:color="auto"/>
                      </w:divBdr>
                      <w:divsChild>
                        <w:div w:id="1454785055">
                          <w:marLeft w:val="0"/>
                          <w:marRight w:val="0"/>
                          <w:marTop w:val="0"/>
                          <w:marBottom w:val="0"/>
                          <w:divBdr>
                            <w:top w:val="none" w:sz="0" w:space="0" w:color="auto"/>
                            <w:left w:val="none" w:sz="0" w:space="0" w:color="auto"/>
                            <w:bottom w:val="none" w:sz="0" w:space="0" w:color="auto"/>
                            <w:right w:val="none" w:sz="0" w:space="0" w:color="auto"/>
                          </w:divBdr>
                          <w:divsChild>
                            <w:div w:id="1937253714">
                              <w:marLeft w:val="0"/>
                              <w:marRight w:val="0"/>
                              <w:marTop w:val="0"/>
                              <w:marBottom w:val="0"/>
                              <w:divBdr>
                                <w:top w:val="none" w:sz="0" w:space="0" w:color="auto"/>
                                <w:left w:val="none" w:sz="0" w:space="0" w:color="auto"/>
                                <w:bottom w:val="none" w:sz="0" w:space="0" w:color="auto"/>
                                <w:right w:val="none" w:sz="0" w:space="0" w:color="auto"/>
                              </w:divBdr>
                              <w:divsChild>
                                <w:div w:id="21268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963426">
      <w:bodyDiv w:val="1"/>
      <w:marLeft w:val="0"/>
      <w:marRight w:val="0"/>
      <w:marTop w:val="0"/>
      <w:marBottom w:val="0"/>
      <w:divBdr>
        <w:top w:val="none" w:sz="0" w:space="0" w:color="auto"/>
        <w:left w:val="none" w:sz="0" w:space="0" w:color="auto"/>
        <w:bottom w:val="none" w:sz="0" w:space="0" w:color="auto"/>
        <w:right w:val="none" w:sz="0" w:space="0" w:color="auto"/>
      </w:divBdr>
    </w:div>
    <w:div w:id="716583597">
      <w:bodyDiv w:val="1"/>
      <w:marLeft w:val="0"/>
      <w:marRight w:val="0"/>
      <w:marTop w:val="0"/>
      <w:marBottom w:val="0"/>
      <w:divBdr>
        <w:top w:val="none" w:sz="0" w:space="0" w:color="auto"/>
        <w:left w:val="none" w:sz="0" w:space="0" w:color="auto"/>
        <w:bottom w:val="none" w:sz="0" w:space="0" w:color="auto"/>
        <w:right w:val="none" w:sz="0" w:space="0" w:color="auto"/>
      </w:divBdr>
    </w:div>
    <w:div w:id="1102720700">
      <w:bodyDiv w:val="1"/>
      <w:marLeft w:val="0"/>
      <w:marRight w:val="0"/>
      <w:marTop w:val="0"/>
      <w:marBottom w:val="0"/>
      <w:divBdr>
        <w:top w:val="none" w:sz="0" w:space="0" w:color="auto"/>
        <w:left w:val="none" w:sz="0" w:space="0" w:color="auto"/>
        <w:bottom w:val="none" w:sz="0" w:space="0" w:color="auto"/>
        <w:right w:val="none" w:sz="0" w:space="0" w:color="auto"/>
      </w:divBdr>
    </w:div>
    <w:div w:id="1847791459">
      <w:bodyDiv w:val="1"/>
      <w:marLeft w:val="0"/>
      <w:marRight w:val="0"/>
      <w:marTop w:val="0"/>
      <w:marBottom w:val="0"/>
      <w:divBdr>
        <w:top w:val="none" w:sz="0" w:space="0" w:color="auto"/>
        <w:left w:val="none" w:sz="0" w:space="0" w:color="auto"/>
        <w:bottom w:val="none" w:sz="0" w:space="0" w:color="auto"/>
        <w:right w:val="none" w:sz="0" w:space="0" w:color="auto"/>
      </w:divBdr>
    </w:div>
    <w:div w:id="2061400180">
      <w:bodyDiv w:val="1"/>
      <w:marLeft w:val="0"/>
      <w:marRight w:val="0"/>
      <w:marTop w:val="0"/>
      <w:marBottom w:val="0"/>
      <w:divBdr>
        <w:top w:val="none" w:sz="0" w:space="0" w:color="auto"/>
        <w:left w:val="none" w:sz="0" w:space="0" w:color="auto"/>
        <w:bottom w:val="none" w:sz="0" w:space="0" w:color="auto"/>
        <w:right w:val="none" w:sz="0" w:space="0" w:color="auto"/>
      </w:divBdr>
      <w:divsChild>
        <w:div w:id="888760871">
          <w:marLeft w:val="0"/>
          <w:marRight w:val="0"/>
          <w:marTop w:val="0"/>
          <w:marBottom w:val="0"/>
          <w:divBdr>
            <w:top w:val="none" w:sz="0" w:space="0" w:color="auto"/>
            <w:left w:val="none" w:sz="0" w:space="0" w:color="auto"/>
            <w:bottom w:val="none" w:sz="0" w:space="0" w:color="auto"/>
            <w:right w:val="none" w:sz="0" w:space="0" w:color="auto"/>
          </w:divBdr>
          <w:divsChild>
            <w:div w:id="58486316">
              <w:marLeft w:val="0"/>
              <w:marRight w:val="0"/>
              <w:marTop w:val="0"/>
              <w:marBottom w:val="0"/>
              <w:divBdr>
                <w:top w:val="none" w:sz="0" w:space="0" w:color="auto"/>
                <w:left w:val="none" w:sz="0" w:space="0" w:color="auto"/>
                <w:bottom w:val="none" w:sz="0" w:space="0" w:color="auto"/>
                <w:right w:val="none" w:sz="0" w:space="0" w:color="auto"/>
              </w:divBdr>
              <w:divsChild>
                <w:div w:id="1544170606">
                  <w:marLeft w:val="0"/>
                  <w:marRight w:val="0"/>
                  <w:marTop w:val="0"/>
                  <w:marBottom w:val="0"/>
                  <w:divBdr>
                    <w:top w:val="none" w:sz="0" w:space="0" w:color="auto"/>
                    <w:left w:val="none" w:sz="0" w:space="0" w:color="auto"/>
                    <w:bottom w:val="none" w:sz="0" w:space="0" w:color="auto"/>
                    <w:right w:val="none" w:sz="0" w:space="0" w:color="auto"/>
                  </w:divBdr>
                  <w:divsChild>
                    <w:div w:id="1593776239">
                      <w:marLeft w:val="0"/>
                      <w:marRight w:val="0"/>
                      <w:marTop w:val="0"/>
                      <w:marBottom w:val="0"/>
                      <w:divBdr>
                        <w:top w:val="none" w:sz="0" w:space="0" w:color="auto"/>
                        <w:left w:val="none" w:sz="0" w:space="0" w:color="auto"/>
                        <w:bottom w:val="none" w:sz="0" w:space="0" w:color="auto"/>
                        <w:right w:val="none" w:sz="0" w:space="0" w:color="auto"/>
                      </w:divBdr>
                      <w:divsChild>
                        <w:div w:id="739909660">
                          <w:marLeft w:val="0"/>
                          <w:marRight w:val="0"/>
                          <w:marTop w:val="0"/>
                          <w:marBottom w:val="0"/>
                          <w:divBdr>
                            <w:top w:val="none" w:sz="0" w:space="0" w:color="auto"/>
                            <w:left w:val="none" w:sz="0" w:space="0" w:color="auto"/>
                            <w:bottom w:val="none" w:sz="0" w:space="0" w:color="auto"/>
                            <w:right w:val="none" w:sz="0" w:space="0" w:color="auto"/>
                          </w:divBdr>
                          <w:divsChild>
                            <w:div w:id="144811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forms.gle/tfezLYMpWv4XN7D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sH5t8Y2rn41Nvyi9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ShSeAopEWJa7R81s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orms.gle/kp48dYt3xvh8pFty5" TargetMode="External"/><Relationship Id="rId4" Type="http://schemas.openxmlformats.org/officeDocument/2006/relationships/settings" Target="settings.xml"/><Relationship Id="rId9" Type="http://schemas.openxmlformats.org/officeDocument/2006/relationships/hyperlink" Target="https://forms.gle/M1hyGB6J8muPSS287" TargetMode="External"/><Relationship Id="rId14" Type="http://schemas.openxmlformats.org/officeDocument/2006/relationships/hyperlink" Target="https://forms.gle/Y1GfvA9nYwEupGEt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C4D3B-B054-4FB2-ACEE-32888BDA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2931</Words>
  <Characters>16712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flurim</dc:creator>
  <cp:lastModifiedBy>Sibel Gutiq</cp:lastModifiedBy>
  <cp:revision>6</cp:revision>
  <dcterms:created xsi:type="dcterms:W3CDTF">2026-03-31T13:33:00Z</dcterms:created>
  <dcterms:modified xsi:type="dcterms:W3CDTF">2026-04-14T09:24:00Z</dcterms:modified>
</cp:coreProperties>
</file>