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F2C6" w14:textId="77777777" w:rsidR="00093E56" w:rsidRDefault="00843505">
      <w:pPr>
        <w:spacing w:line="276" w:lineRule="auto"/>
        <w:jc w:val="center"/>
        <w:rPr>
          <w:rFonts w:ascii="Candara" w:hAnsi="Candara"/>
          <w:b/>
          <w:u w:val="single"/>
          <w:lang w:val="sq-AL"/>
        </w:rPr>
      </w:pPr>
      <w:r>
        <w:rPr>
          <w:rFonts w:ascii="Candara" w:hAnsi="Candara"/>
          <w:b/>
          <w:u w:val="single"/>
          <w:lang w:val="sq-AL"/>
        </w:rPr>
        <w:t>RAPORT NGA PROCESI I KONSULTIMIT PËR</w:t>
      </w:r>
    </w:p>
    <w:p w14:paraId="0E136296" w14:textId="77777777" w:rsidR="00093E56" w:rsidRDefault="00843505">
      <w:pPr>
        <w:spacing w:line="276" w:lineRule="auto"/>
        <w:jc w:val="center"/>
        <w:rPr>
          <w:rFonts w:ascii="Candara" w:hAnsi="Candara"/>
          <w:b/>
          <w:u w:val="single"/>
          <w:lang w:val="sq-AL"/>
        </w:rPr>
      </w:pPr>
      <w:r>
        <w:rPr>
          <w:rFonts w:ascii="Candara" w:hAnsi="Candara"/>
          <w:b/>
          <w:u w:val="single"/>
          <w:lang w:val="sq-AL"/>
        </w:rPr>
        <w:t>STRATEGJINË E QEVERISË SË REPUBLIKËS SË KOSOVËS PËR BASHKËPUNIM ME SHOQËRINË CIVILE 2026–2031 DHE PLANIN E VEPRIMIT PËR 2026–2028</w:t>
      </w:r>
    </w:p>
    <w:p w14:paraId="18B9C101" w14:textId="77777777" w:rsidR="00093E56" w:rsidRDefault="00093E56">
      <w:pPr>
        <w:spacing w:line="276" w:lineRule="auto"/>
        <w:jc w:val="both"/>
        <w:rPr>
          <w:rFonts w:ascii="Candara" w:hAnsi="Candara"/>
          <w:b/>
          <w:sz w:val="20"/>
          <w:szCs w:val="20"/>
          <w:lang w:val="sq-AL"/>
        </w:rPr>
      </w:pPr>
    </w:p>
    <w:p w14:paraId="62C82EC2" w14:textId="77777777" w:rsidR="00093E56" w:rsidRDefault="00093E56">
      <w:pPr>
        <w:spacing w:line="276" w:lineRule="auto"/>
        <w:jc w:val="both"/>
        <w:rPr>
          <w:rFonts w:ascii="Candara" w:hAnsi="Candara"/>
          <w:b/>
          <w:sz w:val="20"/>
          <w:szCs w:val="20"/>
          <w:lang w:val="sq-AL"/>
        </w:rPr>
      </w:pPr>
    </w:p>
    <w:p w14:paraId="34B6C096" w14:textId="77777777" w:rsidR="00093E56" w:rsidRDefault="00093E56">
      <w:pPr>
        <w:spacing w:line="276" w:lineRule="auto"/>
        <w:jc w:val="both"/>
        <w:rPr>
          <w:rFonts w:ascii="Candara" w:hAnsi="Candara"/>
          <w:b/>
          <w:sz w:val="20"/>
          <w:szCs w:val="20"/>
          <w:lang w:val="sq-AL"/>
        </w:rPr>
      </w:pPr>
    </w:p>
    <w:p w14:paraId="62071AD9" w14:textId="77777777" w:rsidR="00093E56" w:rsidRDefault="00843505">
      <w:pPr>
        <w:spacing w:line="276" w:lineRule="auto"/>
        <w:jc w:val="both"/>
        <w:rPr>
          <w:rFonts w:ascii="Candara" w:hAnsi="Candara"/>
          <w:b/>
          <w:sz w:val="20"/>
          <w:szCs w:val="20"/>
          <w:u w:val="single"/>
          <w:lang w:val="sq-AL"/>
        </w:rPr>
      </w:pPr>
      <w:r>
        <w:rPr>
          <w:rFonts w:ascii="Candara" w:hAnsi="Candara"/>
          <w:b/>
          <w:sz w:val="20"/>
          <w:szCs w:val="20"/>
          <w:u w:val="single"/>
          <w:lang w:val="sq-AL"/>
        </w:rPr>
        <w:t>1. Hyrja/Sfondi</w:t>
      </w:r>
    </w:p>
    <w:p w14:paraId="459DE74D" w14:textId="77777777" w:rsidR="00093E56" w:rsidRDefault="00093E56">
      <w:pPr>
        <w:spacing w:line="276" w:lineRule="auto"/>
        <w:jc w:val="both"/>
        <w:rPr>
          <w:rFonts w:ascii="Candara" w:hAnsi="Candara"/>
          <w:b/>
          <w:sz w:val="20"/>
          <w:szCs w:val="20"/>
          <w:lang w:val="sq-AL"/>
        </w:rPr>
      </w:pPr>
    </w:p>
    <w:p w14:paraId="55BF4119"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Strategjia e Qeverisë së Republikës së Kosovës për Bashkëpunim me Shoqërinë Civile 2026–2031 dhe Plani i Veprimit për periudhën 2026–2028 paraqesin një dokument strategjik që synon avancimin e marrëdhënieve dhe bashkëpunimit të strukturuar ndërmjet Qeverisë së Republikës së Kosovës dhe organizatave të shoqërisë civile.</w:t>
      </w:r>
    </w:p>
    <w:p w14:paraId="25314AE7"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Qëllimi kryesor i këtij dokumenti është forcimi i mekanizmave institucionalë për dialog, pjesëmarrje publike dhe përfshirje të shoqërisë civile në proceset e hartimit, zbatimit dhe monitorimit të politikave publike.</w:t>
      </w:r>
    </w:p>
    <w:p w14:paraId="6F134C31"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Hartimi i Strategjisë është zhvilluar në përputhje me Rregulloren (QRK) Nr. 17/2024 për Punën e Qeverisë dhe Udhëzimin Administrativ (QRK) Nr. 07/2018 për planifikimin dhe hartimin e dokumenteve strategjike.</w:t>
      </w:r>
    </w:p>
    <w:p w14:paraId="525EF08E"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Procesi i hartimit ka filluar në vitin 2024 me vlerësimin e zbatimit të Strategjisë paraprake për Bashkëpunim me Shoqërinë Civile, me qëllim identifikimin e progresit të arritur, sfidave ekzistuese dhe fushave që kërkonin ndërhyrje të mëtejshme.</w:t>
      </w:r>
    </w:p>
    <w:p w14:paraId="1F3F6210"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Në kuadër të këtij procesi, me Vendimin nr. 054/2024, datë 23.04.2024, është themeluar Grupi Punues ndërinstitucional për hartimin e Strategjisë dhe Planit të Veprimit.</w:t>
      </w:r>
    </w:p>
    <w:p w14:paraId="5DA1B78F"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Përbërja e Grupit Punues është përcaktuar me qëllim sigurimin e një procesi gjithëpërfshirës, duke përfshirë institucionet publike përgjegjëse, organizatat e shoqërisë civile dhe partnerët zhvillimorë. Kjo qasje ka siguruar që dokumenti të hartohet mbi bazën e evidencës, nevojave të identifikuara dhe përvojave të aktorëve relevantë.</w:t>
      </w:r>
    </w:p>
    <w:p w14:paraId="200BC82F" w14:textId="77777777" w:rsidR="00093E56" w:rsidRDefault="00843505">
      <w:pPr>
        <w:spacing w:line="276" w:lineRule="auto"/>
        <w:jc w:val="both"/>
        <w:rPr>
          <w:rFonts w:ascii="Candara" w:hAnsi="Candara"/>
          <w:b/>
          <w:sz w:val="20"/>
          <w:szCs w:val="20"/>
          <w:lang w:val="sq-AL"/>
        </w:rPr>
      </w:pPr>
      <w:r>
        <w:rPr>
          <w:rFonts w:ascii="Candara" w:hAnsi="Candara"/>
          <w:bCs/>
          <w:sz w:val="20"/>
          <w:szCs w:val="20"/>
          <w:lang w:val="sq-AL"/>
        </w:rPr>
        <w:t>Konsultimi publik ka qenë pjesë thelbësore e procesit të hartimit, duke mundësuar transparencën, pjesëmarrjen dhe marrjen e kontributeve nga palët e interesit para finalizimit të dokumentit</w:t>
      </w:r>
      <w:r>
        <w:rPr>
          <w:rFonts w:ascii="Candara" w:hAnsi="Candara"/>
          <w:b/>
          <w:sz w:val="20"/>
          <w:szCs w:val="20"/>
          <w:lang w:val="sq-AL"/>
        </w:rPr>
        <w:t>.</w:t>
      </w:r>
    </w:p>
    <w:p w14:paraId="7F0B87BD" w14:textId="77777777" w:rsidR="00093E56" w:rsidRDefault="00093E56">
      <w:pPr>
        <w:spacing w:line="276" w:lineRule="auto"/>
        <w:jc w:val="both"/>
        <w:rPr>
          <w:rFonts w:ascii="Candara" w:hAnsi="Candara"/>
          <w:b/>
          <w:sz w:val="20"/>
          <w:szCs w:val="20"/>
          <w:lang w:val="sq-AL"/>
        </w:rPr>
      </w:pPr>
    </w:p>
    <w:p w14:paraId="7863679A" w14:textId="77777777" w:rsidR="00093E56" w:rsidRDefault="00843505">
      <w:pPr>
        <w:spacing w:line="276" w:lineRule="auto"/>
        <w:jc w:val="both"/>
        <w:rPr>
          <w:rFonts w:ascii="Candara" w:hAnsi="Candara"/>
          <w:b/>
          <w:sz w:val="20"/>
          <w:szCs w:val="20"/>
          <w:u w:val="single"/>
          <w:lang w:val="sq-AL"/>
        </w:rPr>
      </w:pPr>
      <w:r>
        <w:rPr>
          <w:rFonts w:ascii="Candara" w:hAnsi="Candara"/>
          <w:b/>
          <w:sz w:val="20"/>
          <w:szCs w:val="20"/>
          <w:u w:val="single"/>
          <w:lang w:val="sq-AL"/>
        </w:rPr>
        <w:t>2. Ecuria e procesit të konsultimit</w:t>
      </w:r>
    </w:p>
    <w:p w14:paraId="188A6839" w14:textId="77777777" w:rsidR="00093E56" w:rsidRDefault="00093E56">
      <w:pPr>
        <w:spacing w:line="276" w:lineRule="auto"/>
        <w:jc w:val="both"/>
        <w:rPr>
          <w:rFonts w:ascii="Candara" w:hAnsi="Candara"/>
          <w:bCs/>
          <w:sz w:val="20"/>
          <w:szCs w:val="20"/>
          <w:lang w:val="sq-AL"/>
        </w:rPr>
      </w:pPr>
    </w:p>
    <w:p w14:paraId="10CD0E21"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Procesi i konsultimit është planifikuar në fazën fillestare të hartimit të Strategjisë, me qëllim identifikimin e palëve kryesore të interesit dhe përcaktimin e mënyrave më të përshtatshme për përfshirjen e tyre.</w:t>
      </w:r>
    </w:p>
    <w:p w14:paraId="25A3BD0A"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Palët e interesit janë identifikuar bazuar në rolin, kompetencat dhe ndikimin e tyre në fushën e bashkëpunimit ndërmjet institucioneve publike dhe shoqërisë civile.</w:t>
      </w:r>
    </w:p>
    <w:p w14:paraId="1597F330"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Në Grupin Punues për hartimin e Strategjisë dhe Planit të Veprimit kanë marrë pjesë përfaqësues nga:</w:t>
      </w:r>
    </w:p>
    <w:p w14:paraId="01594804"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Zyra e Kryeministrit, përkatësisht Zyra për Qeverisje të Mirë, Sekretariati Koordinues i Qeverisë dhe njësitë relevante; Ministria e Financave, Punës dhe Transfereve; Ministria e Administrimit të Pushtetit Lokal; Ministria e Punëve të Brendshme; Ministria e Kulturës, Rinisë dhe Sportit; Ministria e Drejtësisë;</w:t>
      </w:r>
    </w:p>
    <w:p w14:paraId="592C712E"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institucione të tjera publike relevante.</w:t>
      </w:r>
    </w:p>
    <w:p w14:paraId="18FEE69A"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Nga sektori i shoqërisë civile kanë qenë të përfshira:  Platforma CiviKos; Fondacioni Kosovar për Shoqëri Civile (KCSF); PLAY International Kosovo; Qendra e Rinisë Drenas; IPKO Foundation; HandiKOS; ACDC; NGO In Time; KLGI; LDA.</w:t>
      </w:r>
    </w:p>
    <w:p w14:paraId="05E16EAD"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Gjithashtu, në proces kanë kontribuar partnerë zhvillimorë dhe organizata ndërkombëtare, përfshirë Zyrën e BE-së, USAID, TACSO dhe OSBE.</w:t>
      </w:r>
    </w:p>
    <w:p w14:paraId="345F9653"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Gjatë viteve 2024–2025, Grupi Punues ka zhvilluar takime të rregullta pune për:</w:t>
      </w:r>
    </w:p>
    <w:p w14:paraId="5216BFD3" w14:textId="77777777" w:rsidR="00093E56" w:rsidRDefault="00843505">
      <w:pPr>
        <w:pStyle w:val="ListParagraph"/>
        <w:numPr>
          <w:ilvl w:val="0"/>
          <w:numId w:val="2"/>
        </w:numPr>
        <w:spacing w:line="276" w:lineRule="auto"/>
        <w:jc w:val="both"/>
        <w:rPr>
          <w:rFonts w:ascii="Candara" w:hAnsi="Candara"/>
          <w:bCs/>
          <w:sz w:val="20"/>
          <w:szCs w:val="20"/>
          <w:lang w:val="sq-AL"/>
        </w:rPr>
      </w:pPr>
      <w:r>
        <w:rPr>
          <w:rFonts w:ascii="Candara" w:hAnsi="Candara"/>
          <w:bCs/>
          <w:sz w:val="20"/>
          <w:szCs w:val="20"/>
          <w:lang w:val="sq-AL"/>
        </w:rPr>
        <w:t>analizimin e gjetjeve nga zbatimi i Strategjisë paraprake;</w:t>
      </w:r>
    </w:p>
    <w:p w14:paraId="4DC9DB0B" w14:textId="77777777" w:rsidR="00093E56" w:rsidRDefault="00843505">
      <w:pPr>
        <w:pStyle w:val="ListParagraph"/>
        <w:numPr>
          <w:ilvl w:val="0"/>
          <w:numId w:val="2"/>
        </w:numPr>
        <w:spacing w:line="276" w:lineRule="auto"/>
        <w:jc w:val="both"/>
        <w:rPr>
          <w:rFonts w:ascii="Candara" w:hAnsi="Candara"/>
          <w:bCs/>
          <w:sz w:val="20"/>
          <w:szCs w:val="20"/>
          <w:lang w:val="sq-AL"/>
        </w:rPr>
      </w:pPr>
      <w:r>
        <w:rPr>
          <w:rFonts w:ascii="Candara" w:hAnsi="Candara"/>
          <w:bCs/>
          <w:sz w:val="20"/>
          <w:szCs w:val="20"/>
          <w:lang w:val="sq-AL"/>
        </w:rPr>
        <w:t>përcaktimin e prioriteteve strategjike;</w:t>
      </w:r>
    </w:p>
    <w:p w14:paraId="53E50338" w14:textId="77777777" w:rsidR="00093E56" w:rsidRDefault="00843505">
      <w:pPr>
        <w:pStyle w:val="ListParagraph"/>
        <w:numPr>
          <w:ilvl w:val="0"/>
          <w:numId w:val="2"/>
        </w:numPr>
        <w:spacing w:line="276" w:lineRule="auto"/>
        <w:jc w:val="both"/>
        <w:rPr>
          <w:rFonts w:ascii="Candara" w:hAnsi="Candara"/>
          <w:bCs/>
          <w:sz w:val="20"/>
          <w:szCs w:val="20"/>
          <w:lang w:val="sq-AL"/>
        </w:rPr>
      </w:pPr>
      <w:r>
        <w:rPr>
          <w:rFonts w:ascii="Candara" w:hAnsi="Candara"/>
          <w:bCs/>
          <w:sz w:val="20"/>
          <w:szCs w:val="20"/>
          <w:lang w:val="sq-AL"/>
        </w:rPr>
        <w:lastRenderedPageBreak/>
        <w:t>hartimin e objektivave dhe masave;</w:t>
      </w:r>
    </w:p>
    <w:p w14:paraId="13B96D76" w14:textId="77777777" w:rsidR="00093E56" w:rsidRDefault="00843505">
      <w:pPr>
        <w:pStyle w:val="ListParagraph"/>
        <w:numPr>
          <w:ilvl w:val="0"/>
          <w:numId w:val="2"/>
        </w:numPr>
        <w:spacing w:line="276" w:lineRule="auto"/>
        <w:jc w:val="both"/>
        <w:rPr>
          <w:rFonts w:ascii="Candara" w:hAnsi="Candara"/>
          <w:bCs/>
          <w:sz w:val="20"/>
          <w:szCs w:val="20"/>
          <w:lang w:val="sq-AL"/>
        </w:rPr>
      </w:pPr>
      <w:r>
        <w:rPr>
          <w:rFonts w:ascii="Candara" w:hAnsi="Candara"/>
          <w:bCs/>
          <w:sz w:val="20"/>
          <w:szCs w:val="20"/>
          <w:lang w:val="sq-AL"/>
        </w:rPr>
        <w:t>përcaktimin e aktiviteteve dhe indikatorëve të monitorimit.</w:t>
      </w:r>
    </w:p>
    <w:p w14:paraId="4BA913D8" w14:textId="77777777" w:rsidR="00093E56" w:rsidRDefault="00093E56">
      <w:pPr>
        <w:spacing w:line="276" w:lineRule="auto"/>
        <w:jc w:val="both"/>
        <w:rPr>
          <w:rFonts w:ascii="Candara" w:hAnsi="Candara"/>
          <w:bCs/>
          <w:sz w:val="20"/>
          <w:szCs w:val="20"/>
          <w:lang w:val="sq-AL"/>
        </w:rPr>
      </w:pPr>
    </w:p>
    <w:p w14:paraId="306B265A"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 xml:space="preserve">Në bashkëpunim me Platformën CiviKos, projektin EU TACSO 3 dhe ekspertët e angazhuar, janë organizuar konsultime tematike dhe punëtori me organizatat e shoqërisë civile dhe institucionet publike. Konsultimet rajonale janë organizuar gjate muajve </w:t>
      </w:r>
      <w:r>
        <w:rPr>
          <w:rFonts w:ascii="Candara" w:hAnsi="Candara"/>
          <w:sz w:val="20"/>
          <w:szCs w:val="20"/>
          <w:lang w:val="sq-AL"/>
        </w:rPr>
        <w:t xml:space="preserve"> Prill–Qershor 2025 janë organizuar takime ne </w:t>
      </w:r>
      <w:r>
        <w:rPr>
          <w:rFonts w:ascii="Candara" w:hAnsi="Candara"/>
          <w:bCs/>
          <w:sz w:val="20"/>
          <w:szCs w:val="20"/>
          <w:lang w:val="sq-AL"/>
        </w:rPr>
        <w:t>Pejë,</w:t>
      </w:r>
      <w:r>
        <w:rPr>
          <w:rFonts w:ascii="Candara" w:hAnsi="Candara"/>
          <w:sz w:val="20"/>
          <w:szCs w:val="20"/>
          <w:lang w:val="sq-AL"/>
        </w:rPr>
        <w:t xml:space="preserve"> </w:t>
      </w:r>
      <w:r>
        <w:rPr>
          <w:rFonts w:ascii="Candara" w:hAnsi="Candara"/>
          <w:bCs/>
          <w:sz w:val="20"/>
          <w:szCs w:val="20"/>
          <w:lang w:val="sq-AL"/>
        </w:rPr>
        <w:t>Prizren,</w:t>
      </w:r>
      <w:r>
        <w:rPr>
          <w:rFonts w:ascii="Candara" w:hAnsi="Candara"/>
          <w:sz w:val="20"/>
          <w:szCs w:val="20"/>
          <w:lang w:val="sq-AL"/>
        </w:rPr>
        <w:t xml:space="preserve"> </w:t>
      </w:r>
      <w:r>
        <w:rPr>
          <w:rFonts w:ascii="Candara" w:hAnsi="Candara"/>
          <w:bCs/>
          <w:sz w:val="20"/>
          <w:szCs w:val="20"/>
          <w:lang w:val="sq-AL"/>
        </w:rPr>
        <w:t>Gjilan,</w:t>
      </w:r>
      <w:r>
        <w:rPr>
          <w:rFonts w:ascii="Candara" w:hAnsi="Candara"/>
          <w:sz w:val="20"/>
          <w:szCs w:val="20"/>
          <w:lang w:val="sq-AL"/>
        </w:rPr>
        <w:t xml:space="preserve"> </w:t>
      </w:r>
      <w:r>
        <w:rPr>
          <w:rFonts w:ascii="Candara" w:hAnsi="Candara"/>
          <w:bCs/>
          <w:sz w:val="20"/>
          <w:szCs w:val="20"/>
          <w:lang w:val="sq-AL"/>
        </w:rPr>
        <w:t>Mitrovicë e Veriut, Prishtinë.</w:t>
      </w:r>
    </w:p>
    <w:p w14:paraId="19AB1F38"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Gjatë këtyre takimeve është prezantuar drafti i Strategjisë, janë diskutuar objektivat dhe janë mbledhur rekomandime për përmirësimin e dokumentit.</w:t>
      </w:r>
    </w:p>
    <w:p w14:paraId="54D9569F"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Konsultimet me institucionet publike janë zhvilluar paralelisht, me fokus në harmonizimin e masave, përgjegjësive institucionale dhe planifikimit financiar të aktiviteteve.</w:t>
      </w:r>
    </w:p>
    <w:p w14:paraId="30DD0334"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Më 30 qershor 2025, Zyra për Qeverisje të Mirë, në bashkëpunim me Platformën CiviKos dhe me mbështetjen e EU TACSO 3, ka organizuar takim të përbashkët ndërmjet institucioneve publike dhe organizatave të shoqërisë civile për prezantimin e draftit final.</w:t>
      </w:r>
    </w:p>
    <w:p w14:paraId="29D0BBE2" w14:textId="77777777" w:rsidR="00093E56" w:rsidRDefault="00843505">
      <w:pPr>
        <w:spacing w:line="276" w:lineRule="auto"/>
        <w:jc w:val="both"/>
        <w:rPr>
          <w:rFonts w:ascii="Candara" w:hAnsi="Candara"/>
          <w:sz w:val="20"/>
          <w:szCs w:val="20"/>
          <w:lang w:val="sq-AL"/>
        </w:rPr>
      </w:pPr>
      <w:r>
        <w:rPr>
          <w:rFonts w:ascii="Candara" w:hAnsi="Candara"/>
          <w:sz w:val="20"/>
          <w:szCs w:val="20"/>
          <w:lang w:val="sq-AL"/>
        </w:rPr>
        <w:t>Drafti i Strategjisë është vendosur në konsultim paraprak për 15 ditë dhe në konsultim publik për 30 ditë pune.</w:t>
      </w:r>
    </w:p>
    <w:p w14:paraId="47C48659" w14:textId="77777777" w:rsidR="00093E56" w:rsidRDefault="00843505">
      <w:pPr>
        <w:spacing w:line="276" w:lineRule="auto"/>
        <w:jc w:val="both"/>
        <w:rPr>
          <w:rFonts w:ascii="Candara" w:hAnsi="Candara"/>
          <w:sz w:val="20"/>
          <w:szCs w:val="20"/>
          <w:lang w:val="sq-AL"/>
        </w:rPr>
      </w:pPr>
      <w:r>
        <w:rPr>
          <w:rFonts w:ascii="Candara" w:hAnsi="Candara"/>
          <w:sz w:val="20"/>
          <w:szCs w:val="20"/>
          <w:lang w:val="sq-AL"/>
        </w:rPr>
        <w:t>Në procesin e konsultimit publik kanë kontribuuar 12 organizata/grupe kontribuuese të dallueshme – kontributi i përbashkët i 12 OShC-ve, Zyra e Bashkimit Evropian në Kosovë, GLPS, EULEX, ABGJ, Rrjeti i Grave të Kosovës, YMCA, KLGI, QKSGj, CIVIKOS, OSBE dhe KDF – përveç pjesëmarrësve në takimet e konsultimeve rajonale të mbajtura në Pejë, Prizren, Gjilan, Mitrovicë të Veriut dhe Prishtinë.</w:t>
      </w:r>
    </w:p>
    <w:p w14:paraId="5962D57A" w14:textId="77777777" w:rsidR="00093E56" w:rsidRDefault="00843505">
      <w:pPr>
        <w:spacing w:line="276" w:lineRule="auto"/>
        <w:jc w:val="both"/>
        <w:rPr>
          <w:rFonts w:ascii="Candara" w:hAnsi="Candara"/>
          <w:sz w:val="20"/>
          <w:szCs w:val="20"/>
          <w:lang w:val="sq-AL"/>
        </w:rPr>
      </w:pPr>
      <w:r>
        <w:rPr>
          <w:rFonts w:ascii="Candara" w:hAnsi="Candara"/>
          <w:sz w:val="20"/>
          <w:szCs w:val="20"/>
          <w:lang w:val="sq-AL"/>
        </w:rPr>
        <w:t>KCSF ka qenë gjithashtu pjesë e përgatitjes së raportit final mbi rrjedhën e procesit të konsultimit publik për këtë strategji. Të gjitha vendimet lidhur me përfshirjen e plotë, të pjesshme apo mos përfshirjen e komenteve të ardhura nga organizata të ndryshme vendore, ndërkombëtare dhe institucione, janë marrë nga grupi punues, bazuar në relevancën dhe arsyetimin profesional të secilit koment. Në të njëjtën mënyrë, edhe Plani i Veprimit ashtu edhe vetë Strategjia janë hartuar duke u bazuar tërësisht në rekomandimet dhe vendimet e grupit punues, duke siguruar transparencë dhe konsistencë gjatë gjithë procesit.</w:t>
      </w:r>
    </w:p>
    <w:p w14:paraId="29677E1B" w14:textId="77777777" w:rsidR="00093E56" w:rsidRDefault="00093E56">
      <w:pPr>
        <w:spacing w:line="276" w:lineRule="auto"/>
        <w:jc w:val="both"/>
        <w:rPr>
          <w:rFonts w:ascii="Candara" w:hAnsi="Candara"/>
          <w:sz w:val="20"/>
          <w:szCs w:val="20"/>
          <w:lang w:val="sq-AL"/>
        </w:rPr>
      </w:pPr>
    </w:p>
    <w:p w14:paraId="025D9AF1" w14:textId="77777777" w:rsidR="00093E56" w:rsidRDefault="00843505">
      <w:pPr>
        <w:spacing w:line="276" w:lineRule="auto"/>
        <w:jc w:val="both"/>
        <w:rPr>
          <w:rFonts w:ascii="Candara" w:hAnsi="Candara"/>
          <w:b/>
          <w:sz w:val="20"/>
          <w:szCs w:val="20"/>
          <w:u w:val="single"/>
          <w:lang w:val="sq-AL"/>
        </w:rPr>
      </w:pPr>
      <w:r>
        <w:rPr>
          <w:rFonts w:ascii="Candara" w:hAnsi="Candara"/>
          <w:b/>
          <w:sz w:val="20"/>
          <w:szCs w:val="20"/>
          <w:u w:val="single"/>
          <w:lang w:val="sq-AL"/>
        </w:rPr>
        <w:t xml:space="preserve">Përmbledhje e  kontributeve të pranuara gjatë procesit të konsultimit dhe kategoritë e kontribuuesve </w:t>
      </w:r>
    </w:p>
    <w:p w14:paraId="5C0DCDD1" w14:textId="77777777" w:rsidR="00093E56" w:rsidRDefault="00093E56">
      <w:pPr>
        <w:spacing w:line="276" w:lineRule="auto"/>
        <w:jc w:val="both"/>
        <w:rPr>
          <w:rFonts w:ascii="Candara" w:hAnsi="Candara"/>
          <w:b/>
          <w:sz w:val="20"/>
          <w:szCs w:val="20"/>
          <w:u w:val="single"/>
          <w:lang w:val="sq-AL"/>
        </w:rPr>
      </w:pPr>
    </w:p>
    <w:p w14:paraId="189DA299"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Gjatë procesit të konsultimit janë pranuar gjithsej 146 komente dhe rekomandime.</w:t>
      </w:r>
    </w:p>
    <w:p w14:paraId="72737FA0"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Nga numri total:</w:t>
      </w:r>
    </w:p>
    <w:p w14:paraId="53F4183B" w14:textId="77777777" w:rsidR="00093E56" w:rsidRDefault="00843505">
      <w:pPr>
        <w:pStyle w:val="ListParagraph"/>
        <w:numPr>
          <w:ilvl w:val="0"/>
          <w:numId w:val="3"/>
        </w:numPr>
        <w:spacing w:line="276" w:lineRule="auto"/>
        <w:jc w:val="both"/>
        <w:rPr>
          <w:rFonts w:ascii="Candara" w:hAnsi="Candara"/>
          <w:bCs/>
          <w:sz w:val="20"/>
          <w:szCs w:val="20"/>
          <w:lang w:val="sq-AL"/>
        </w:rPr>
      </w:pPr>
      <w:r>
        <w:rPr>
          <w:rFonts w:ascii="Candara" w:hAnsi="Candara"/>
          <w:bCs/>
          <w:sz w:val="20"/>
          <w:szCs w:val="20"/>
          <w:lang w:val="sq-AL"/>
        </w:rPr>
        <w:t>31 komente janë pranuar plotësisht;</w:t>
      </w:r>
    </w:p>
    <w:p w14:paraId="56527A0E" w14:textId="77777777" w:rsidR="00093E56" w:rsidRDefault="00843505">
      <w:pPr>
        <w:pStyle w:val="ListParagraph"/>
        <w:numPr>
          <w:ilvl w:val="0"/>
          <w:numId w:val="3"/>
        </w:numPr>
        <w:spacing w:line="276" w:lineRule="auto"/>
        <w:jc w:val="both"/>
        <w:rPr>
          <w:rFonts w:ascii="Candara" w:hAnsi="Candara"/>
          <w:bCs/>
          <w:sz w:val="20"/>
          <w:szCs w:val="20"/>
          <w:lang w:val="sq-AL"/>
        </w:rPr>
      </w:pPr>
      <w:r>
        <w:rPr>
          <w:rFonts w:ascii="Candara" w:hAnsi="Candara"/>
          <w:bCs/>
          <w:sz w:val="20"/>
          <w:szCs w:val="20"/>
          <w:lang w:val="sq-AL"/>
        </w:rPr>
        <w:t>63 komente janë pranuar pjesërisht dhe janë reflektuar në dokument;</w:t>
      </w:r>
    </w:p>
    <w:p w14:paraId="35215722" w14:textId="77777777" w:rsidR="00093E56" w:rsidRDefault="00843505">
      <w:pPr>
        <w:pStyle w:val="ListParagraph"/>
        <w:numPr>
          <w:ilvl w:val="0"/>
          <w:numId w:val="3"/>
        </w:numPr>
        <w:spacing w:line="276" w:lineRule="auto"/>
        <w:jc w:val="both"/>
        <w:rPr>
          <w:rFonts w:ascii="Candara" w:hAnsi="Candara"/>
          <w:bCs/>
          <w:sz w:val="20"/>
          <w:szCs w:val="20"/>
          <w:lang w:val="sq-AL"/>
        </w:rPr>
      </w:pPr>
      <w:r>
        <w:rPr>
          <w:rFonts w:ascii="Candara" w:hAnsi="Candara"/>
          <w:bCs/>
          <w:sz w:val="20"/>
          <w:szCs w:val="20"/>
          <w:lang w:val="sq-AL"/>
        </w:rPr>
        <w:t>52 komente nuk janë pranuar.</w:t>
      </w:r>
    </w:p>
    <w:p w14:paraId="5B188A58"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Komentet e pranuara kanë ndikuar në:</w:t>
      </w:r>
    </w:p>
    <w:p w14:paraId="57802763" w14:textId="77777777" w:rsidR="00093E56" w:rsidRDefault="00843505">
      <w:pPr>
        <w:pStyle w:val="ListParagraph"/>
        <w:numPr>
          <w:ilvl w:val="0"/>
          <w:numId w:val="4"/>
        </w:numPr>
        <w:spacing w:line="276" w:lineRule="auto"/>
        <w:jc w:val="both"/>
        <w:rPr>
          <w:rFonts w:ascii="Candara" w:hAnsi="Candara"/>
          <w:bCs/>
          <w:sz w:val="20"/>
          <w:szCs w:val="20"/>
          <w:lang w:val="sq-AL"/>
        </w:rPr>
      </w:pPr>
      <w:r>
        <w:rPr>
          <w:rFonts w:ascii="Candara" w:hAnsi="Candara"/>
          <w:bCs/>
          <w:sz w:val="20"/>
          <w:szCs w:val="20"/>
          <w:lang w:val="sq-AL"/>
        </w:rPr>
        <w:t>përmirësimin e formulimit të objektivave;</w:t>
      </w:r>
    </w:p>
    <w:p w14:paraId="6A73DD80" w14:textId="77777777" w:rsidR="00093E56" w:rsidRDefault="00843505">
      <w:pPr>
        <w:pStyle w:val="ListParagraph"/>
        <w:numPr>
          <w:ilvl w:val="0"/>
          <w:numId w:val="4"/>
        </w:numPr>
        <w:spacing w:line="276" w:lineRule="auto"/>
        <w:jc w:val="both"/>
        <w:rPr>
          <w:rFonts w:ascii="Candara" w:hAnsi="Candara"/>
          <w:bCs/>
          <w:sz w:val="20"/>
          <w:szCs w:val="20"/>
          <w:lang w:val="sq-AL"/>
        </w:rPr>
      </w:pPr>
      <w:r>
        <w:rPr>
          <w:rFonts w:ascii="Candara" w:hAnsi="Candara"/>
          <w:bCs/>
          <w:sz w:val="20"/>
          <w:szCs w:val="20"/>
          <w:lang w:val="sq-AL"/>
        </w:rPr>
        <w:t>qartësimin e masave dhe aktiviteteve;</w:t>
      </w:r>
    </w:p>
    <w:p w14:paraId="7A055DD9" w14:textId="77777777" w:rsidR="00093E56" w:rsidRDefault="00843505">
      <w:pPr>
        <w:pStyle w:val="ListParagraph"/>
        <w:numPr>
          <w:ilvl w:val="0"/>
          <w:numId w:val="4"/>
        </w:numPr>
        <w:spacing w:line="276" w:lineRule="auto"/>
        <w:jc w:val="both"/>
        <w:rPr>
          <w:rFonts w:ascii="Candara" w:hAnsi="Candara"/>
          <w:bCs/>
          <w:sz w:val="20"/>
          <w:szCs w:val="20"/>
          <w:lang w:val="sq-AL"/>
        </w:rPr>
      </w:pPr>
      <w:r>
        <w:rPr>
          <w:rFonts w:ascii="Candara" w:hAnsi="Candara"/>
          <w:bCs/>
          <w:sz w:val="20"/>
          <w:szCs w:val="20"/>
          <w:lang w:val="sq-AL"/>
        </w:rPr>
        <w:t>përcaktimin më të qartë të roleve institucionale;</w:t>
      </w:r>
    </w:p>
    <w:p w14:paraId="3AEE52AE" w14:textId="77777777" w:rsidR="00093E56" w:rsidRDefault="00843505">
      <w:pPr>
        <w:pStyle w:val="ListParagraph"/>
        <w:numPr>
          <w:ilvl w:val="0"/>
          <w:numId w:val="4"/>
        </w:numPr>
        <w:spacing w:line="276" w:lineRule="auto"/>
        <w:jc w:val="both"/>
        <w:rPr>
          <w:rFonts w:ascii="Candara" w:hAnsi="Candara"/>
          <w:bCs/>
          <w:sz w:val="20"/>
          <w:szCs w:val="20"/>
          <w:lang w:val="sq-AL"/>
        </w:rPr>
      </w:pPr>
      <w:r>
        <w:rPr>
          <w:rFonts w:ascii="Candara" w:hAnsi="Candara"/>
          <w:bCs/>
          <w:sz w:val="20"/>
          <w:szCs w:val="20"/>
          <w:lang w:val="sq-AL"/>
        </w:rPr>
        <w:t>përmirësimin e indikatorëve dhe mekanizmave të monitorimit.</w:t>
      </w:r>
    </w:p>
    <w:p w14:paraId="63E6B8FF" w14:textId="77777777" w:rsidR="00093E56" w:rsidRDefault="00093E56">
      <w:pPr>
        <w:spacing w:line="276" w:lineRule="auto"/>
        <w:jc w:val="both"/>
        <w:rPr>
          <w:rFonts w:ascii="Candara" w:hAnsi="Candara"/>
          <w:b/>
          <w:sz w:val="20"/>
          <w:szCs w:val="20"/>
          <w:u w:val="single"/>
          <w:lang w:val="sq-AL"/>
        </w:rPr>
      </w:pPr>
    </w:p>
    <w:p w14:paraId="2553FC09" w14:textId="77777777" w:rsidR="00093E56" w:rsidRDefault="00843505">
      <w:pPr>
        <w:spacing w:line="276" w:lineRule="auto"/>
        <w:jc w:val="both"/>
        <w:rPr>
          <w:rFonts w:ascii="Candara" w:hAnsi="Candara"/>
          <w:b/>
          <w:sz w:val="20"/>
          <w:szCs w:val="20"/>
          <w:u w:val="single"/>
          <w:lang w:val="sq-AL"/>
        </w:rPr>
      </w:pPr>
      <w:r>
        <w:rPr>
          <w:rFonts w:ascii="Candara" w:hAnsi="Candara"/>
          <w:b/>
          <w:sz w:val="20"/>
          <w:szCs w:val="20"/>
          <w:u w:val="single"/>
          <w:lang w:val="sq-AL"/>
        </w:rPr>
        <w:t>Kontributi i Agjencisë për Barazi Gjinore (ABGJ)</w:t>
      </w:r>
    </w:p>
    <w:p w14:paraId="21F8A03E" w14:textId="77777777" w:rsidR="00093E56" w:rsidRDefault="00093E56">
      <w:pPr>
        <w:spacing w:line="276" w:lineRule="auto"/>
        <w:jc w:val="both"/>
        <w:rPr>
          <w:rFonts w:ascii="Candara" w:hAnsi="Candara"/>
          <w:b/>
          <w:sz w:val="20"/>
          <w:szCs w:val="20"/>
          <w:u w:val="single"/>
          <w:lang w:val="sq-AL"/>
        </w:rPr>
      </w:pPr>
      <w:bookmarkStart w:id="0" w:name="_Hlk235176736"/>
    </w:p>
    <w:p w14:paraId="5A281C20" w14:textId="11C8B5E6" w:rsidR="00093E56" w:rsidRDefault="00843505">
      <w:pPr>
        <w:spacing w:line="276" w:lineRule="auto"/>
        <w:jc w:val="both"/>
        <w:rPr>
          <w:rFonts w:ascii="Candara" w:hAnsi="Candara"/>
          <w:bCs/>
          <w:sz w:val="20"/>
          <w:szCs w:val="20"/>
          <w:lang w:val="sq-AL"/>
        </w:rPr>
      </w:pPr>
      <w:r>
        <w:rPr>
          <w:rFonts w:ascii="Candara" w:hAnsi="Candara"/>
          <w:bCs/>
          <w:sz w:val="20"/>
          <w:szCs w:val="20"/>
          <w:lang w:val="sq-AL"/>
        </w:rPr>
        <w:t xml:space="preserve">Agjencia për Barazi Gjinore (ABGJ), në kuadër të Zyrës së Kryeministrit, ka qenë ndër </w:t>
      </w:r>
      <w:r w:rsidR="00C13D55">
        <w:rPr>
          <w:rFonts w:ascii="Candara" w:hAnsi="Candara"/>
          <w:bCs/>
          <w:sz w:val="20"/>
          <w:szCs w:val="20"/>
          <w:lang w:val="sq-AL"/>
        </w:rPr>
        <w:t>kontribuuesit</w:t>
      </w:r>
      <w:r>
        <w:rPr>
          <w:rFonts w:ascii="Candara" w:hAnsi="Candara"/>
          <w:bCs/>
          <w:sz w:val="20"/>
          <w:szCs w:val="20"/>
          <w:lang w:val="sq-AL"/>
        </w:rPr>
        <w:t xml:space="preserve"> më aktiv dhe më të detajuar gjatë procesit të konsultimit publik të Strategjisë 2026–2031. ABGJ ka paraqitur gjithsej 93 komente, kryesisht të orientuara drejt integrimit të perspektivës gjinore në tregues, veprime dhe rezultate të Planit të Veprimit në përputhje me detyrimet e Ligjit Nr. 05/L-020 për Barazi Gjinore.</w:t>
      </w:r>
    </w:p>
    <w:p w14:paraId="587918F7" w14:textId="77777777" w:rsidR="00D669C3" w:rsidRDefault="00D669C3">
      <w:pPr>
        <w:spacing w:line="276" w:lineRule="auto"/>
        <w:jc w:val="both"/>
        <w:rPr>
          <w:rFonts w:ascii="Candara" w:hAnsi="Candara"/>
          <w:bCs/>
          <w:sz w:val="20"/>
          <w:szCs w:val="20"/>
          <w:lang w:val="sq-AL"/>
        </w:rPr>
      </w:pPr>
    </w:p>
    <w:p w14:paraId="5A99C39B" w14:textId="5126CC51" w:rsidR="00093E56" w:rsidRDefault="00843505">
      <w:pPr>
        <w:spacing w:line="276" w:lineRule="auto"/>
        <w:jc w:val="both"/>
        <w:rPr>
          <w:rFonts w:ascii="Candara" w:hAnsi="Candara"/>
          <w:bCs/>
          <w:sz w:val="20"/>
          <w:szCs w:val="20"/>
          <w:lang w:val="sq-AL"/>
        </w:rPr>
      </w:pPr>
      <w:r>
        <w:rPr>
          <w:rFonts w:ascii="Candara" w:hAnsi="Candara"/>
          <w:bCs/>
          <w:sz w:val="20"/>
          <w:szCs w:val="20"/>
          <w:lang w:val="sq-AL"/>
        </w:rPr>
        <w:t>Nga 93 komentet e paraqitura:</w:t>
      </w:r>
    </w:p>
    <w:p w14:paraId="57F1FC88" w14:textId="77777777" w:rsidR="00093E56" w:rsidRDefault="00843505">
      <w:pPr>
        <w:pStyle w:val="ListParagraph"/>
        <w:numPr>
          <w:ilvl w:val="0"/>
          <w:numId w:val="5"/>
        </w:numPr>
        <w:spacing w:line="276" w:lineRule="auto"/>
        <w:jc w:val="both"/>
        <w:rPr>
          <w:rFonts w:ascii="Candara" w:hAnsi="Candara"/>
          <w:bCs/>
          <w:sz w:val="20"/>
          <w:szCs w:val="20"/>
          <w:lang w:val="sq-AL"/>
        </w:rPr>
      </w:pPr>
      <w:r>
        <w:rPr>
          <w:rFonts w:ascii="Candara" w:hAnsi="Candara"/>
          <w:bCs/>
          <w:sz w:val="20"/>
          <w:szCs w:val="20"/>
          <w:lang w:val="sq-AL"/>
        </w:rPr>
        <w:t>34 komente janë pranuar plotësisht (Pranohet) — 36.6%;</w:t>
      </w:r>
    </w:p>
    <w:p w14:paraId="7971C478" w14:textId="77777777" w:rsidR="00093E56" w:rsidRDefault="00843505">
      <w:pPr>
        <w:pStyle w:val="ListParagraph"/>
        <w:numPr>
          <w:ilvl w:val="0"/>
          <w:numId w:val="5"/>
        </w:numPr>
        <w:spacing w:line="276" w:lineRule="auto"/>
        <w:jc w:val="both"/>
        <w:rPr>
          <w:rFonts w:ascii="Candara" w:hAnsi="Candara"/>
          <w:bCs/>
          <w:sz w:val="20"/>
          <w:szCs w:val="20"/>
          <w:lang w:val="sq-AL"/>
        </w:rPr>
      </w:pPr>
      <w:r>
        <w:rPr>
          <w:rFonts w:ascii="Candara" w:hAnsi="Candara"/>
          <w:bCs/>
          <w:sz w:val="20"/>
          <w:szCs w:val="20"/>
          <w:lang w:val="sq-AL"/>
        </w:rPr>
        <w:t>28 komente janë pranuar pjesërisht (Pranohet pjesërisht) — 30.1%;</w:t>
      </w:r>
    </w:p>
    <w:p w14:paraId="1C8B3259" w14:textId="77777777" w:rsidR="00093E56" w:rsidRDefault="00843505">
      <w:pPr>
        <w:pStyle w:val="ListParagraph"/>
        <w:numPr>
          <w:ilvl w:val="0"/>
          <w:numId w:val="5"/>
        </w:numPr>
        <w:spacing w:line="276" w:lineRule="auto"/>
        <w:jc w:val="both"/>
        <w:rPr>
          <w:rFonts w:ascii="Candara" w:hAnsi="Candara"/>
          <w:bCs/>
          <w:sz w:val="20"/>
          <w:szCs w:val="20"/>
          <w:lang w:val="sq-AL"/>
        </w:rPr>
      </w:pPr>
      <w:r>
        <w:rPr>
          <w:rFonts w:ascii="Candara" w:hAnsi="Candara"/>
          <w:bCs/>
          <w:sz w:val="20"/>
          <w:szCs w:val="20"/>
          <w:lang w:val="sq-AL"/>
        </w:rPr>
        <w:t>31 komente nuk janë pranuar (Nuk pranohet) — 33.3%.</w:t>
      </w:r>
    </w:p>
    <w:bookmarkEnd w:id="0"/>
    <w:p w14:paraId="23173276" w14:textId="77777777" w:rsidR="00093E56" w:rsidRDefault="00843505">
      <w:pPr>
        <w:spacing w:line="276" w:lineRule="auto"/>
        <w:jc w:val="both"/>
        <w:rPr>
          <w:rFonts w:ascii="Candara" w:hAnsi="Candara"/>
          <w:bCs/>
          <w:sz w:val="20"/>
          <w:szCs w:val="20"/>
          <w:lang w:val="sq-AL"/>
        </w:rPr>
      </w:pPr>
      <w:r>
        <w:rPr>
          <w:rFonts w:ascii="Candara" w:hAnsi="Candara"/>
          <w:bCs/>
          <w:sz w:val="20"/>
          <w:szCs w:val="20"/>
          <w:lang w:val="sq-AL"/>
        </w:rPr>
        <w:t>Kontributet e pranuara plotësisht kanë rezultuar kryesisht në shtimin e ABGJ-së si institucion bashkëpunues në veprime specifike, integrimin e të dhënave të ndara sipas gjinisë në raportim, dhe përfshirjen e barazia gjinore si parim horizontal në Objektivat Strategjike. Komentet e pranuara pjesërisht janë reflektuar nëpërmjet riformulimeve tekstuale dhe angazhimeve procedurale gjatë fazës së zbatimit. Komentet e papranuara kanë lidhje kryesisht me propozime që tejkalojnë fushëveprimin e Strategjisë si kuotat formale gjinore në trajnime, emërtimi i kategorive specifike si përfituese preferenciale, ose ndryshime strukturore të objektivave. ABGJ mbetet institucioni bashkëpunues kryesor për çdo dimension gjinor të zbatimit të Strategjisë.</w:t>
      </w:r>
    </w:p>
    <w:p w14:paraId="4BF7A033" w14:textId="77777777" w:rsidR="00093E56" w:rsidRDefault="00093E56">
      <w:pPr>
        <w:spacing w:line="276" w:lineRule="auto"/>
        <w:jc w:val="both"/>
        <w:rPr>
          <w:rFonts w:ascii="Candara" w:hAnsi="Candara"/>
          <w:b/>
          <w:sz w:val="20"/>
          <w:szCs w:val="20"/>
          <w:u w:val="single"/>
          <w:lang w:val="sq-AL"/>
        </w:rPr>
      </w:pPr>
    </w:p>
    <w:p w14:paraId="75C99B5E" w14:textId="77777777" w:rsidR="00093E56" w:rsidRDefault="00843505">
      <w:pPr>
        <w:spacing w:line="276" w:lineRule="auto"/>
        <w:jc w:val="both"/>
        <w:rPr>
          <w:rFonts w:ascii="Candara" w:hAnsi="Candara"/>
          <w:b/>
          <w:sz w:val="20"/>
          <w:szCs w:val="20"/>
          <w:u w:val="single"/>
          <w:lang w:val="sq-AL"/>
        </w:rPr>
      </w:pPr>
      <w:r>
        <w:rPr>
          <w:rFonts w:ascii="Candara" w:hAnsi="Candara"/>
          <w:b/>
          <w:sz w:val="20"/>
          <w:szCs w:val="20"/>
          <w:u w:val="single"/>
          <w:lang w:val="sq-AL"/>
        </w:rPr>
        <w:t>Çështje tjera</w:t>
      </w:r>
    </w:p>
    <w:p w14:paraId="525A52FE" w14:textId="77777777" w:rsidR="00093E56" w:rsidRDefault="00093E56">
      <w:pPr>
        <w:spacing w:line="276" w:lineRule="auto"/>
        <w:jc w:val="both"/>
        <w:rPr>
          <w:rFonts w:ascii="Candara" w:hAnsi="Candara"/>
          <w:b/>
          <w:sz w:val="20"/>
          <w:szCs w:val="20"/>
          <w:lang w:val="sq-AL"/>
        </w:rPr>
      </w:pPr>
    </w:p>
    <w:p w14:paraId="6E2EBF33" w14:textId="77777777" w:rsidR="00093E56" w:rsidRDefault="00843505">
      <w:pPr>
        <w:spacing w:line="276" w:lineRule="auto"/>
        <w:jc w:val="both"/>
        <w:rPr>
          <w:rFonts w:ascii="Candara" w:hAnsi="Candara"/>
          <w:i/>
          <w:sz w:val="20"/>
          <w:szCs w:val="20"/>
          <w:lang w:val="sq-AL"/>
        </w:rPr>
      </w:pPr>
      <w:r>
        <w:rPr>
          <w:rFonts w:ascii="Candara" w:hAnsi="Candara"/>
          <w:iCs/>
          <w:sz w:val="20"/>
          <w:szCs w:val="20"/>
          <w:lang w:val="sq-AL"/>
        </w:rPr>
        <w:t>Zyra për Qeverisje të Mirë (ZQM) në kuadër të Zyrës së Kryeministrit të Republikës së Kosovës (ZKM) ka udhëhequr procesin e hartimit, koordinimit dhe konsultimit të Strategjisë së Qeverisë së Republikës së Kosovës për Bashkëpunim me Shoqërinë Civile 2026–2031 dhe Planit të Veprimit për periudhën 2026–2028. Procesi i hartimit është karakterizuar nga bashkëpunimi ndërinstitucional, transparenca dhe pjesëmarrja aktive e shoqërisë civile</w:t>
      </w:r>
      <w:r>
        <w:rPr>
          <w:rFonts w:ascii="Candara" w:hAnsi="Candara"/>
          <w:i/>
          <w:sz w:val="20"/>
          <w:szCs w:val="20"/>
          <w:lang w:val="sq-AL"/>
        </w:rPr>
        <w:t>.</w:t>
      </w:r>
    </w:p>
    <w:p w14:paraId="1269FB12" w14:textId="77777777" w:rsidR="00093E56" w:rsidRDefault="00843505">
      <w:pPr>
        <w:spacing w:line="276" w:lineRule="auto"/>
        <w:jc w:val="both"/>
        <w:rPr>
          <w:rFonts w:ascii="Candara" w:hAnsi="Candara"/>
          <w:iCs/>
          <w:sz w:val="20"/>
          <w:szCs w:val="20"/>
          <w:lang w:val="sq-AL"/>
        </w:rPr>
      </w:pPr>
      <w:r>
        <w:rPr>
          <w:rFonts w:ascii="Candara" w:hAnsi="Candara"/>
          <w:iCs/>
          <w:sz w:val="20"/>
          <w:szCs w:val="20"/>
          <w:lang w:val="sq-AL"/>
        </w:rPr>
        <w:t>Në këtë rol, ZQM/ZKM ka koordinuar procesin ndërinstitucional dhe bashkëpunimin me organizatat e shoqërisë civile, duke siguruar zhvillimin e një procesi transparent, gjithëpërfshirës dhe konsultativ. Përmes koordinimit të Grupit Punues dhe aktiviteteve të konsultimit paraprak e publik, është mundësuar përfshirja e institucioneve publike, organizatave të shoqërisë civile dhe partnerëve zhvillimorë në të gjitha fazat relevante të hartimit të dokumentit. ZQM/ZKM ka qenë gjithashtu struktura përgjegjëse për koordinimin e zbatimit, monitorimit dhe raportimit të Strategjive paraprake për Bashkëpunim me Shoqërinë Civile (2013–2017 dhe 2019–2023). Në këtë kuadër, ZQM/ZKM ka koordinuar proceset e monitorimit të progresit, mbledhjen e informatave nga institucionet përgjegjëse dhe përgatitjen e raporteve për zbatimin e masave dhe aktiviteteve të përcaktuara.</w:t>
      </w:r>
    </w:p>
    <w:p w14:paraId="06D1989D" w14:textId="77777777" w:rsidR="00093E56" w:rsidRDefault="00843505">
      <w:pPr>
        <w:spacing w:line="276" w:lineRule="auto"/>
        <w:jc w:val="both"/>
        <w:rPr>
          <w:rFonts w:ascii="Candara" w:hAnsi="Candara"/>
          <w:iCs/>
          <w:sz w:val="20"/>
          <w:szCs w:val="20"/>
          <w:lang w:val="sq-AL"/>
        </w:rPr>
      </w:pPr>
      <w:r>
        <w:rPr>
          <w:rFonts w:ascii="Candara" w:hAnsi="Candara"/>
          <w:iCs/>
          <w:sz w:val="20"/>
          <w:szCs w:val="20"/>
          <w:lang w:val="sq-AL"/>
        </w:rPr>
        <w:t xml:space="preserve">Zbatimi i strategjive paraprake ka qenë përgjegjësi e përbashkët e institucioneve publike, sipas mandatit dhe fushave të tyre të kompetencës. </w:t>
      </w:r>
    </w:p>
    <w:p w14:paraId="31D885EB" w14:textId="77777777" w:rsidR="00093E56" w:rsidRDefault="00843505">
      <w:pPr>
        <w:spacing w:line="276" w:lineRule="auto"/>
        <w:jc w:val="both"/>
        <w:rPr>
          <w:rFonts w:ascii="Candara" w:hAnsi="Candara"/>
          <w:iCs/>
          <w:sz w:val="20"/>
          <w:szCs w:val="20"/>
          <w:lang w:val="sq-AL"/>
        </w:rPr>
      </w:pPr>
      <w:r>
        <w:rPr>
          <w:rFonts w:ascii="Candara" w:hAnsi="Candara"/>
          <w:iCs/>
          <w:sz w:val="20"/>
          <w:szCs w:val="20"/>
          <w:lang w:val="sq-AL"/>
        </w:rPr>
        <w:t>Përveç Zyrës së Kryeministrit, në realizimin e objektivave strategjike kanë kontribuar institucione të tjera relevante, përfshirë Zyrën Ligjore të ZKM-së, Ministrinë e Financave, Punës dhe Transfereve, Ministrinë e Administrimit të Pushtetit Lokal, Ministrinë e Kulturës, Rinisë dhe Sportit, si dhe institucione të tjera përgjegjëse për zbatimin e masave dhe aktiviteteve specifike.</w:t>
      </w:r>
    </w:p>
    <w:p w14:paraId="5A965BC4" w14:textId="77777777" w:rsidR="00093E56" w:rsidRDefault="00843505">
      <w:pPr>
        <w:spacing w:line="276" w:lineRule="auto"/>
        <w:jc w:val="both"/>
        <w:rPr>
          <w:rFonts w:ascii="Candara" w:hAnsi="Candara"/>
          <w:iCs/>
          <w:sz w:val="20"/>
          <w:szCs w:val="20"/>
          <w:lang w:val="sq-AL"/>
        </w:rPr>
      </w:pPr>
      <w:r>
        <w:rPr>
          <w:rFonts w:ascii="Candara" w:hAnsi="Candara"/>
          <w:iCs/>
          <w:sz w:val="20"/>
          <w:szCs w:val="20"/>
          <w:lang w:val="sq-AL"/>
        </w:rPr>
        <w:t>Ky mekanizëm i koordinimit ndërinstitucional ka kontribuar në sigurimin e vazhdimësisë së politikave për bashkëpunim me shoqërinë civile dhe në forcimin e bazës institucionale për zbatimin e Strategjisë së re për periudhën 2026–2031.</w:t>
      </w:r>
    </w:p>
    <w:p w14:paraId="554B4E69" w14:textId="77777777" w:rsidR="00093E56" w:rsidRDefault="00093E56">
      <w:pPr>
        <w:spacing w:line="276" w:lineRule="auto"/>
        <w:jc w:val="both"/>
        <w:rPr>
          <w:rFonts w:ascii="Candara" w:hAnsi="Candara"/>
          <w:sz w:val="20"/>
          <w:szCs w:val="20"/>
          <w:lang w:val="sq-AL"/>
        </w:rPr>
      </w:pPr>
    </w:p>
    <w:p w14:paraId="450BF4AD" w14:textId="77777777" w:rsidR="00093E56" w:rsidRDefault="00843505">
      <w:pPr>
        <w:spacing w:line="276" w:lineRule="auto"/>
        <w:jc w:val="both"/>
        <w:rPr>
          <w:rFonts w:ascii="Candara" w:hAnsi="Candara"/>
          <w:b/>
          <w:sz w:val="20"/>
          <w:szCs w:val="20"/>
          <w:u w:val="single"/>
          <w:lang w:val="sq-AL"/>
        </w:rPr>
      </w:pPr>
      <w:r>
        <w:rPr>
          <w:rFonts w:ascii="Candara" w:hAnsi="Candara"/>
          <w:b/>
          <w:sz w:val="20"/>
          <w:szCs w:val="20"/>
          <w:u w:val="single"/>
          <w:lang w:val="sq-AL"/>
        </w:rPr>
        <w:t>Hapat e ardhshëm</w:t>
      </w:r>
    </w:p>
    <w:p w14:paraId="76B66537" w14:textId="77777777" w:rsidR="00093E56" w:rsidRDefault="00093E56">
      <w:pPr>
        <w:spacing w:line="276" w:lineRule="auto"/>
        <w:jc w:val="both"/>
        <w:rPr>
          <w:rFonts w:ascii="Candara" w:hAnsi="Candara"/>
          <w:b/>
          <w:sz w:val="20"/>
          <w:szCs w:val="20"/>
          <w:u w:val="single"/>
          <w:lang w:val="sq-AL"/>
        </w:rPr>
      </w:pPr>
    </w:p>
    <w:p w14:paraId="4E55DD0D" w14:textId="77777777" w:rsidR="00093E56" w:rsidRDefault="00843505">
      <w:pPr>
        <w:spacing w:line="276" w:lineRule="auto"/>
        <w:jc w:val="both"/>
        <w:rPr>
          <w:rFonts w:ascii="Candara" w:hAnsi="Candara"/>
          <w:sz w:val="20"/>
          <w:szCs w:val="20"/>
          <w:lang w:val="sq-AL"/>
        </w:rPr>
      </w:pPr>
      <w:r>
        <w:rPr>
          <w:rFonts w:ascii="Candara" w:hAnsi="Candara"/>
          <w:iCs/>
          <w:sz w:val="20"/>
          <w:szCs w:val="20"/>
          <w:lang w:val="sq-AL"/>
        </w:rPr>
        <w:t>Pas përfundimit të procesit të konsultimit publik dhe finalizimit të draftit të Strategjisë së Qeverisë së Republikës së Kosovës për Bashkëpunim me Shoqërinë Civile 2026–2031 dhe Planit të Veprimit për periudhën 2026–2028, dokumenti do të procedohet për shqyrtim dhe miratim (aprovim) sipas procedurave të përcaktuara me kuadrin ligjor në fuqi për hartimin dhe miratimin e dokumenteve strategjike të Qeverisë së Republikës së Kosovës.</w:t>
      </w:r>
    </w:p>
    <w:p w14:paraId="4F0E0F1E" w14:textId="77777777" w:rsidR="00093E56" w:rsidRDefault="00843505">
      <w:pPr>
        <w:spacing w:line="276" w:lineRule="auto"/>
        <w:jc w:val="both"/>
        <w:rPr>
          <w:rFonts w:ascii="Candara" w:hAnsi="Candara"/>
          <w:sz w:val="20"/>
          <w:szCs w:val="20"/>
          <w:lang w:val="sq-AL"/>
        </w:rPr>
      </w:pPr>
      <w:r>
        <w:rPr>
          <w:rFonts w:ascii="Candara" w:hAnsi="Candara"/>
          <w:sz w:val="20"/>
          <w:szCs w:val="20"/>
          <w:lang w:val="sq-AL"/>
        </w:rPr>
        <w:t>Pas miratimit, do të fillojë faza e zbatimit, monitorimit dhe raportimit të progresit sipas strukturave dhe përgjegjësive të përcaktuara me Planin e Veprimit.</w:t>
      </w:r>
    </w:p>
    <w:p w14:paraId="422B6AD8" w14:textId="77777777" w:rsidR="00093E56" w:rsidRDefault="00843505">
      <w:pPr>
        <w:spacing w:line="276" w:lineRule="auto"/>
        <w:jc w:val="both"/>
        <w:rPr>
          <w:rFonts w:ascii="Candara" w:hAnsi="Candara"/>
          <w:sz w:val="20"/>
          <w:szCs w:val="20"/>
          <w:lang w:val="sq-AL"/>
        </w:rPr>
      </w:pPr>
      <w:r>
        <w:rPr>
          <w:rFonts w:ascii="Candara" w:hAnsi="Candara"/>
          <w:b/>
          <w:bCs/>
          <w:sz w:val="20"/>
          <w:szCs w:val="20"/>
          <w:u w:val="single"/>
          <w:lang w:val="sq-AL"/>
        </w:rPr>
        <w:lastRenderedPageBreak/>
        <w:t xml:space="preserve">Tabela e detajuar me informatat per kontribuuesit, arsyetimet për përgjigjet e pranuara dhe të refuzuara.  </w:t>
      </w:r>
    </w:p>
    <w:p w14:paraId="16AEC028" w14:textId="77777777" w:rsidR="00093E56" w:rsidRDefault="00093E56">
      <w:pPr>
        <w:spacing w:line="276" w:lineRule="auto"/>
        <w:jc w:val="both"/>
        <w:rPr>
          <w:rFonts w:ascii="Candara" w:hAnsi="Candara"/>
          <w:sz w:val="20"/>
          <w:szCs w:val="20"/>
          <w:lang w:val="sq-AL"/>
        </w:rPr>
      </w:pPr>
    </w:p>
    <w:tbl>
      <w:tblPr>
        <w:tblStyle w:val="GridTable1Light-Accent51"/>
        <w:tblW w:w="5583" w:type="pct"/>
        <w:tblInd w:w="-995" w:type="dxa"/>
        <w:tblLayout w:type="fixed"/>
        <w:tblCellMar>
          <w:left w:w="29" w:type="dxa"/>
          <w:right w:w="29" w:type="dxa"/>
        </w:tblCellMar>
        <w:tblLook w:val="0420" w:firstRow="1" w:lastRow="0" w:firstColumn="0" w:lastColumn="0" w:noHBand="0" w:noVBand="1"/>
      </w:tblPr>
      <w:tblGrid>
        <w:gridCol w:w="618"/>
        <w:gridCol w:w="1158"/>
        <w:gridCol w:w="2239"/>
        <w:gridCol w:w="1468"/>
        <w:gridCol w:w="4957"/>
      </w:tblGrid>
      <w:tr w:rsidR="00093E56" w14:paraId="29FBCBE3" w14:textId="77777777" w:rsidTr="00843505">
        <w:trPr>
          <w:cnfStyle w:val="100000000000" w:firstRow="1" w:lastRow="0" w:firstColumn="0" w:lastColumn="0" w:oddVBand="0" w:evenVBand="0" w:oddHBand="0" w:evenHBand="0" w:firstRowFirstColumn="0" w:firstRowLastColumn="0" w:lastRowFirstColumn="0" w:lastRowLastColumn="0"/>
          <w:trHeight w:val="1880"/>
        </w:trPr>
        <w:tc>
          <w:tcPr>
            <w:tcW w:w="618" w:type="dxa"/>
            <w:tcBorders>
              <w:bottom w:val="single" w:sz="12" w:space="0" w:color="9CC2E5"/>
            </w:tcBorders>
            <w:shd w:val="clear" w:color="auto" w:fill="FBE4D5" w:themeFill="accent2" w:themeFillTint="33"/>
          </w:tcPr>
          <w:p w14:paraId="490E7049" w14:textId="77777777" w:rsidR="00093E56" w:rsidRDefault="00843505">
            <w:pPr>
              <w:pStyle w:val="ListParagraph"/>
              <w:spacing w:line="276" w:lineRule="auto"/>
              <w:ind w:left="0" w:right="68" w:hanging="58"/>
              <w:jc w:val="both"/>
              <w:rPr>
                <w:rFonts w:ascii="Candara" w:hAnsi="Candara"/>
                <w:sz w:val="20"/>
                <w:szCs w:val="20"/>
                <w:lang w:val="sq-AL"/>
              </w:rPr>
            </w:pPr>
            <w:r>
              <w:rPr>
                <w:rFonts w:ascii="Candara" w:eastAsia="Calibri" w:hAnsi="Candara"/>
                <w:sz w:val="20"/>
                <w:szCs w:val="20"/>
                <w:lang w:val="sq-AL"/>
              </w:rPr>
              <w:t xml:space="preserve">  Nr</w:t>
            </w:r>
          </w:p>
        </w:tc>
        <w:tc>
          <w:tcPr>
            <w:tcW w:w="1158" w:type="dxa"/>
            <w:tcBorders>
              <w:bottom w:val="single" w:sz="12" w:space="0" w:color="9CC2E5"/>
            </w:tcBorders>
            <w:shd w:val="clear" w:color="auto" w:fill="FBE4D5" w:themeFill="accent2" w:themeFillTint="33"/>
          </w:tcPr>
          <w:p w14:paraId="49F66B5F"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Emri   i organizatës /individit</w:t>
            </w:r>
          </w:p>
        </w:tc>
        <w:tc>
          <w:tcPr>
            <w:tcW w:w="2239" w:type="dxa"/>
            <w:tcBorders>
              <w:bottom w:val="single" w:sz="12" w:space="0" w:color="9CC2E5"/>
            </w:tcBorders>
            <w:shd w:val="clear" w:color="auto" w:fill="FBE4D5" w:themeFill="accent2" w:themeFillTint="33"/>
          </w:tcPr>
          <w:p w14:paraId="0D8206F6"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Koment i organizatës /individit</w:t>
            </w:r>
          </w:p>
        </w:tc>
        <w:tc>
          <w:tcPr>
            <w:tcW w:w="1468" w:type="dxa"/>
            <w:tcBorders>
              <w:bottom w:val="single" w:sz="12" w:space="0" w:color="9CC2E5"/>
            </w:tcBorders>
            <w:shd w:val="clear" w:color="auto" w:fill="FBE4D5" w:themeFill="accent2" w:themeFillTint="33"/>
          </w:tcPr>
          <w:p w14:paraId="5051D0FA"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Përgjigja nga Ministria</w:t>
            </w:r>
          </w:p>
          <w:p w14:paraId="6DCAD6D7"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E pranuar plotësisht</w:t>
            </w:r>
          </w:p>
          <w:p w14:paraId="19A0F603"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 xml:space="preserve">E pranuar pjesërisht </w:t>
            </w:r>
          </w:p>
          <w:p w14:paraId="4F0A86F6"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E refuzuar</w:t>
            </w:r>
          </w:p>
          <w:p w14:paraId="61E87C35" w14:textId="77777777" w:rsidR="00093E56" w:rsidRDefault="00093E56">
            <w:pPr>
              <w:spacing w:line="276" w:lineRule="auto"/>
              <w:jc w:val="both"/>
              <w:rPr>
                <w:rFonts w:ascii="Candara" w:hAnsi="Candara"/>
                <w:sz w:val="20"/>
                <w:szCs w:val="20"/>
                <w:lang w:val="sq-AL"/>
              </w:rPr>
            </w:pPr>
          </w:p>
        </w:tc>
        <w:tc>
          <w:tcPr>
            <w:tcW w:w="4957" w:type="dxa"/>
            <w:tcBorders>
              <w:bottom w:val="single" w:sz="12" w:space="0" w:color="9CC2E5"/>
            </w:tcBorders>
            <w:shd w:val="clear" w:color="auto" w:fill="FBE4D5" w:themeFill="accent2" w:themeFillTint="33"/>
          </w:tcPr>
          <w:p w14:paraId="2EF1EC39" w14:textId="77777777" w:rsidR="00093E56" w:rsidRDefault="00843505">
            <w:pPr>
              <w:spacing w:line="276" w:lineRule="auto"/>
              <w:jc w:val="both"/>
              <w:rPr>
                <w:rFonts w:ascii="Candara" w:hAnsi="Candara"/>
                <w:sz w:val="20"/>
                <w:szCs w:val="20"/>
                <w:lang w:val="sq-AL"/>
              </w:rPr>
            </w:pPr>
            <w:r>
              <w:rPr>
                <w:rFonts w:ascii="Candara" w:eastAsia="Calibri" w:hAnsi="Candara"/>
                <w:b w:val="0"/>
                <w:bCs w:val="0"/>
                <w:sz w:val="20"/>
                <w:szCs w:val="20"/>
                <w:lang w:val="sq-AL"/>
              </w:rPr>
              <w:t xml:space="preserve">Sqarim nga Ministria </w:t>
            </w:r>
          </w:p>
          <w:p w14:paraId="120020EC" w14:textId="77777777" w:rsidR="00093E56" w:rsidRDefault="00843505">
            <w:pPr>
              <w:tabs>
                <w:tab w:val="left" w:pos="2556"/>
              </w:tabs>
              <w:spacing w:line="276" w:lineRule="auto"/>
              <w:ind w:right="541"/>
              <w:jc w:val="both"/>
              <w:rPr>
                <w:rFonts w:ascii="Candara" w:hAnsi="Candara"/>
                <w:sz w:val="20"/>
                <w:szCs w:val="20"/>
                <w:lang w:val="sq-AL"/>
              </w:rPr>
            </w:pPr>
            <w:r>
              <w:rPr>
                <w:rFonts w:ascii="Candara" w:eastAsia="Calibri" w:hAnsi="Candara"/>
                <w:b w:val="0"/>
                <w:bCs w:val="0"/>
                <w:sz w:val="20"/>
                <w:szCs w:val="20"/>
                <w:lang w:val="sq-AL"/>
              </w:rPr>
              <w:t>(veçanërisht arsyet për të mos pranuar komente të caktuara)</w:t>
            </w:r>
          </w:p>
        </w:tc>
      </w:tr>
      <w:tr w:rsidR="00093E56" w14:paraId="074F4D61" w14:textId="77777777" w:rsidTr="00843505">
        <w:trPr>
          <w:trHeight w:val="1995"/>
        </w:trPr>
        <w:tc>
          <w:tcPr>
            <w:tcW w:w="618" w:type="dxa"/>
          </w:tcPr>
          <w:p w14:paraId="3BC9884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D7CCF5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w:t>
            </w:r>
          </w:p>
        </w:tc>
        <w:tc>
          <w:tcPr>
            <w:tcW w:w="2239" w:type="dxa"/>
          </w:tcPr>
          <w:p w14:paraId="782B69D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Drafti i strategjisë është më shumë analitik sesa strategjik, theksi është vendosur te prapavija dhe arsyetimi, ndërsa mungon dinamika e veprimit dhe përfshirja reale e akterëve që duhet ta zbatojnë.</w:t>
            </w:r>
          </w:p>
        </w:tc>
        <w:tc>
          <w:tcPr>
            <w:tcW w:w="1468" w:type="dxa"/>
          </w:tcPr>
          <w:p w14:paraId="3488352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86BB6C3" w14:textId="77777777" w:rsidR="00093E56" w:rsidRDefault="00843505">
            <w:pPr>
              <w:spacing w:line="276" w:lineRule="auto"/>
              <w:jc w:val="both"/>
              <w:rPr>
                <w:rFonts w:ascii="Candara" w:eastAsia="Times New Roman" w:hAnsi="Candara" w:cs="Arial"/>
                <w:sz w:val="18"/>
                <w:szCs w:val="18"/>
                <w:lang w:val="sq-AL"/>
              </w:rPr>
            </w:pPr>
            <w:r>
              <w:rPr>
                <w:rFonts w:ascii="Candara" w:eastAsia="Times New Roman" w:hAnsi="Candara" w:cs="Arial"/>
                <w:sz w:val="18"/>
                <w:szCs w:val="18"/>
                <w:lang w:val="sq-AL"/>
              </w:rPr>
              <w:t>Struktura e dokumentit bazohet në kornizën e UA 07/2018, sipas së cilës ka filluar hartimi i strategjisë në prill 2023. Dinamika e veprimit dhe roli i akterëve zbatues trajtohen në Planin e Veprimit. Komenti ngre një shqetësim të vlefshëm strukturor. Meqë mungojnë rekomandime specifike, adresimi i plotë është i vështirë në këtë fazë; versioni final i strategjisë do të shqyrtohet për të pasqyruar më qartë karakterin strategjik të dokumentit.</w:t>
            </w:r>
          </w:p>
        </w:tc>
      </w:tr>
      <w:tr w:rsidR="00093E56" w14:paraId="508DA465" w14:textId="77777777" w:rsidTr="00843505">
        <w:trPr>
          <w:trHeight w:val="1140"/>
        </w:trPr>
        <w:tc>
          <w:tcPr>
            <w:tcW w:w="618" w:type="dxa"/>
          </w:tcPr>
          <w:p w14:paraId="0858435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D1CA79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F571CA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përfshirje më e lartë e nivelit lokal i cili është thelbësor për shoqërinë civile.</w:t>
            </w:r>
          </w:p>
        </w:tc>
        <w:tc>
          <w:tcPr>
            <w:tcW w:w="1468" w:type="dxa"/>
          </w:tcPr>
          <w:p w14:paraId="1BF3451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5EADE741" w14:textId="77777777" w:rsidR="00093E56" w:rsidRDefault="00843505">
            <w:pPr>
              <w:spacing w:line="276" w:lineRule="auto"/>
              <w:jc w:val="both"/>
              <w:rPr>
                <w:rFonts w:ascii="Candara" w:eastAsia="Times New Roman" w:hAnsi="Candara" w:cs="Arial"/>
                <w:sz w:val="18"/>
                <w:szCs w:val="18"/>
                <w:lang w:val="sq-AL"/>
              </w:rPr>
            </w:pPr>
            <w:r>
              <w:rPr>
                <w:rFonts w:ascii="Candara" w:eastAsia="Times New Roman" w:hAnsi="Candara" w:cs="Arial"/>
                <w:sz w:val="18"/>
                <w:szCs w:val="18"/>
                <w:lang w:val="sq-AL"/>
              </w:rPr>
              <w:t>Niveli lokal reflektohet në disa aktivitete të Planit të Veprimit, por bashkëpunimi me shoqërinë civile në nivel lokal bie kryesisht nën kompetencën e MAPL-së. Do të forcohet roli i MAPL-së si institucion në aktivitetet përkatëse.</w:t>
            </w:r>
          </w:p>
        </w:tc>
      </w:tr>
      <w:tr w:rsidR="00093E56" w14:paraId="059F0B9F" w14:textId="77777777" w:rsidTr="00843505">
        <w:trPr>
          <w:trHeight w:val="3240"/>
        </w:trPr>
        <w:tc>
          <w:tcPr>
            <w:tcW w:w="618" w:type="dxa"/>
          </w:tcPr>
          <w:p w14:paraId="64E8933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964FE6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28153B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të ketë informacion kthyes për kontributin e dhënë nga OSHC-të</w:t>
            </w:r>
          </w:p>
        </w:tc>
        <w:tc>
          <w:tcPr>
            <w:tcW w:w="1468" w:type="dxa"/>
          </w:tcPr>
          <w:p w14:paraId="7675958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7F74F0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tashmë është e adresuar. Rregullorja (QRK) 17/2024 (Neni 53) obligon publikimin e raportit të konsultimit me adresimin e të gjitha komenteve, jo më vonë se 3 ditë pune para miratimit dhe jo më vonë se 3 ditë pune para se projekt propozimi të dërgohet për miratim nga organi përkatës. Strategjia (Objektivi Specifik 1.1) parasheh që institucionet të sigurojnë përmbushjen e standardeve të konsultimit sipas Rregullores, me fokus të veçantë në komentet me shkrim nga OSHC-të. Plani i Veprimit përmban Indikatorin I.2.4 që mat përqindjen e përgjigjeve ndaj komenteve (synimi: 100% deri më 2028) dhe Veprimin 1.3.3 që parasheh trajnime për pikat fokale me fokus në dhënien e përgjigjeve.</w:t>
            </w:r>
            <w:bookmarkStart w:id="1" w:name="_Hlk233283010"/>
            <w:bookmarkEnd w:id="1"/>
          </w:p>
        </w:tc>
      </w:tr>
      <w:tr w:rsidR="00093E56" w14:paraId="07967EBD" w14:textId="77777777" w:rsidTr="00843505">
        <w:trPr>
          <w:trHeight w:val="3135"/>
        </w:trPr>
        <w:tc>
          <w:tcPr>
            <w:tcW w:w="618" w:type="dxa"/>
          </w:tcPr>
          <w:p w14:paraId="418D8AF5"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E18BBA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5E50AE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objektivat për mbështetjen e shoqërisë civile të përcaktohen prej perspektivës së mungesës së shërbimeve</w:t>
            </w:r>
          </w:p>
        </w:tc>
        <w:tc>
          <w:tcPr>
            <w:tcW w:w="1468" w:type="dxa"/>
          </w:tcPr>
          <w:p w14:paraId="7EDF3F9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559671B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e integron këtë perspektivë në strukturën e saj. Teksti i Strategjisë tek Objektivi 3 thekson se "Organizatat e shoqërisë civile mund të shërbejnë si ofrues thelbësorë të shërbimeve të ndryshme dhe shpesh mund të mbushin boshllëqet që sektori qeveritar dhe privat mund të anashkalojë." Për këtë arsye, mbështetja financiare për shërbime publike trajtohet veçmas nga mbështetja financiare për OShC-të, në një objektiv të vetëm, në Objektivin Strategjik 3, i cili është i dedikuar për kontraktimin e OSHC-ve për ofrimin e shërbimeve publike. Ndërsa vlerësimi më specifik i nevojave të mungesës së shërbimeve do të adresohet përmes Rregullores për ofrimin e shërbimeve publike dhe standardet minimale, e parashikuar në Objektivin Specifik 3.1.</w:t>
            </w:r>
          </w:p>
        </w:tc>
      </w:tr>
      <w:tr w:rsidR="00093E56" w14:paraId="169C3477" w14:textId="77777777" w:rsidTr="00843505">
        <w:trPr>
          <w:trHeight w:val="1425"/>
        </w:trPr>
        <w:tc>
          <w:tcPr>
            <w:tcW w:w="618" w:type="dxa"/>
          </w:tcPr>
          <w:p w14:paraId="3388BDA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FE1655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24F9D67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afatet e konsultimeve publike të jenë më të gjata, veçanërisht në rastet kur ka më shumë dokumentacion apo dokumentacion voluminoz</w:t>
            </w:r>
          </w:p>
        </w:tc>
        <w:tc>
          <w:tcPr>
            <w:tcW w:w="1468" w:type="dxa"/>
          </w:tcPr>
          <w:p w14:paraId="1FA5192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BC2AE0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Afatet e konsultimeve publike rregullohen me Rregulloren (QRK) 17/2024. Neni 52 tashmë parasheh mundësinë e zgjatjes së afatit kur organi propozues vlerëson që natyra e materialit kërkon kohë më të gjatë për t'u konsultuar, kur nuk është i kënaqur me cilësinë e komenteve të pranuara, ose kur ngrihen çështje të reja të rëndësishme.</w:t>
            </w:r>
          </w:p>
        </w:tc>
      </w:tr>
      <w:tr w:rsidR="00093E56" w14:paraId="54057872" w14:textId="77777777" w:rsidTr="00843505">
        <w:trPr>
          <w:trHeight w:val="2280"/>
        </w:trPr>
        <w:tc>
          <w:tcPr>
            <w:tcW w:w="618" w:type="dxa"/>
          </w:tcPr>
          <w:p w14:paraId="019589D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0D65B1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1A726F7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Këshilli për Bashkëpunim aktualisht ka funksionalitet të kufizuar; theksohet nevoja për qartësim të formës së organizimit dhe funksionimit të tij, si dhe për rritje të transparencës lidhur me takimet, rolin dhe agjendat.</w:t>
            </w:r>
          </w:p>
        </w:tc>
        <w:tc>
          <w:tcPr>
            <w:tcW w:w="1468" w:type="dxa"/>
          </w:tcPr>
          <w:p w14:paraId="332AAD7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074DF03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është e adresuar në Strategji dhe në Planin e Veprimit. Strategjia (Objektivi Specifik 1.4) njeh sfidat e funksionalitetit të Këshillit dhe parasheh përmirësimin e mekanizmave të dialogut. Këshilli funksionon sipas Rregullave të Punës të miratuara. Plani i Veprimit përmban tregues për numrin e takimeve (I.4.1) dhe zbatimin e konkluzioneve (I.4.2), si dhe veprime konkrete: mbledhje të rregullta (1.4.1), plan pune (1.4.3), dhe buletin elektronik tremujor (1.4.5) për transparencë.</w:t>
            </w:r>
          </w:p>
        </w:tc>
      </w:tr>
      <w:tr w:rsidR="00093E56" w14:paraId="4F45E5C1" w14:textId="77777777" w:rsidTr="00843505">
        <w:trPr>
          <w:trHeight w:val="1140"/>
        </w:trPr>
        <w:tc>
          <w:tcPr>
            <w:tcW w:w="618" w:type="dxa"/>
          </w:tcPr>
          <w:p w14:paraId="70EAA10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4306DC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0F1067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Këshilli duhet të jetë më gjithëpërfshirës dhe me OSHC të sektorëve relevantë</w:t>
            </w:r>
          </w:p>
        </w:tc>
        <w:tc>
          <w:tcPr>
            <w:tcW w:w="1468" w:type="dxa"/>
          </w:tcPr>
          <w:p w14:paraId="39912D7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188FC5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Pas miratimit të Strategjisë, Këshilli do të rikonstituohet dhe do të hartohen Rregullat e reja të Punës. Rekomandimi për përfaqësim më gjithëpërfshirës të sektorëve relevantë do të merret parasysh gjatë këtij procesi.</w:t>
            </w:r>
          </w:p>
        </w:tc>
      </w:tr>
      <w:tr w:rsidR="00093E56" w14:paraId="3B5EBE45" w14:textId="77777777" w:rsidTr="00843505">
        <w:trPr>
          <w:trHeight w:val="2280"/>
        </w:trPr>
        <w:tc>
          <w:tcPr>
            <w:tcW w:w="618" w:type="dxa"/>
          </w:tcPr>
          <w:p w14:paraId="478C0DE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2FD58B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2C4228F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Këshilli duhet të jetë më i hapur ndaj forumeve më të gjera jashtë institucioneve</w:t>
            </w:r>
          </w:p>
        </w:tc>
        <w:tc>
          <w:tcPr>
            <w:tcW w:w="1468" w:type="dxa"/>
          </w:tcPr>
          <w:p w14:paraId="012B8C6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EB686C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është e adresuar në Strategji dhe në Planin e Veprimit. Strategjia parasheh që Këshilli të organizojë sesione në qytete të ndryshme të vendit për të mundësuar pjesëmarrjen e OSHC-ve lokale. Plani i Veprimit përmban Veprimin 1.4.1 (seanca në komuna jashtë kryeqytetit) dhe Veprimin 1.4.6 (Ditët e Informimit si manifestim vjetor për promovimin dhe rrjetëzimin e shoqërisë civile). Ndërkaq, formulimi "më i hapur ndaj forumeve më të gjera jashtë institucioneve" është i papërcaktuar dhe nuk mundëson integrimin e saktë në dokument.</w:t>
            </w:r>
          </w:p>
        </w:tc>
      </w:tr>
      <w:tr w:rsidR="00093E56" w14:paraId="769E534A" w14:textId="77777777" w:rsidTr="00843505">
        <w:trPr>
          <w:trHeight w:val="1425"/>
        </w:trPr>
        <w:tc>
          <w:tcPr>
            <w:tcW w:w="618" w:type="dxa"/>
          </w:tcPr>
          <w:p w14:paraId="3CB620E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21819F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1A9552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Këshilli duhet të jetë më proaktiv në ndarjen e informacionit lidhur me takimet, vendimmarrjen dhe monitorimin.</w:t>
            </w:r>
          </w:p>
        </w:tc>
        <w:tc>
          <w:tcPr>
            <w:tcW w:w="1468" w:type="dxa"/>
          </w:tcPr>
          <w:p w14:paraId="3835728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577239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është e adresuar në Planin e Veprimit. Veprimi 1.4.5 parasheh përgatitjen dhe publikimin e buletinit elektronik tremujor mbi punën e Këshillit, i cili do të shpërndahet përmes rrjeteve sociale dhe kanaleve tjera të komunikimit. Ky mekanizëm synon pikërisht rritjen e transparencës dhe ndarjen proaktive të informacionit me OSHC-të dhe publikun.</w:t>
            </w:r>
          </w:p>
        </w:tc>
      </w:tr>
      <w:tr w:rsidR="00093E56" w14:paraId="427E42E8" w14:textId="77777777" w:rsidTr="00843505">
        <w:trPr>
          <w:trHeight w:val="2600"/>
        </w:trPr>
        <w:tc>
          <w:tcPr>
            <w:tcW w:w="618" w:type="dxa"/>
          </w:tcPr>
          <w:p w14:paraId="32EE377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7D3AF1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EF203A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përfshirja e OSHC-ve në fazat e hershme të hartimit të politikave, jo vetëm në fazën finale të draftimit.</w:t>
            </w:r>
          </w:p>
        </w:tc>
        <w:tc>
          <w:tcPr>
            <w:tcW w:w="1468" w:type="dxa"/>
          </w:tcPr>
          <w:p w14:paraId="75827A3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2997E02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dhe do të adresohet në draftin final si në vijim: (1) Në seksionin "Analiza e Problemit", pas fjalisë që trajton përfshirjen e vonshme të palëve të interesuara, do të shtohet fakti se në nivelin qendror, sipas raporteve të publikuara, gjatë vitit 2024 nuk u mbajt asnjë takim fillestar me publikun para fillimit të hartimit të draft politikave (burimi: KCSF, "Konsultimi Publik në Kosovë", 2024). (2) Në seksionin "Objektivi Specifik 1.1", do të theksohet se Rregullorja (QRK) Nr. 17/2024 e Punës së Qeverisë, Neni 49, paragrafi 3.1, tashmë obligon organet propozuese të mbajnë takim publik fillestar para fillimit të hartimit të projekt-propozimit, duke mundësuar që palët e interesuara të angazhohen në formësimin e tij. Ndërsa kjo çështje tashmë adresohet në Planin e Veprimit përmes Veprimeve 1.3.1 (ndërtimi i mekanizmave për përfshirjen e OSHC-ve në fazat e hershme), 1.3.2 (trajnime për zyrtarët publikë), dhe 1.3.3 (trajnime për pikat fokale me fokus në përfshirjen e hershme).</w:t>
            </w:r>
          </w:p>
        </w:tc>
      </w:tr>
      <w:tr w:rsidR="00093E56" w14:paraId="047BCD83" w14:textId="77777777" w:rsidTr="00843505">
        <w:trPr>
          <w:trHeight w:val="2565"/>
        </w:trPr>
        <w:tc>
          <w:tcPr>
            <w:tcW w:w="618" w:type="dxa"/>
          </w:tcPr>
          <w:p w14:paraId="00D98DD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523E0A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3C6E353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Korniza logjike duhet të përfshijë konsultime me përfshirje të drejtpërdrejtë të personave të prekur, ekspertëve të fushës, përfituesve të shërbimeve (shembull: shëndeti mendor).</w:t>
            </w:r>
          </w:p>
        </w:tc>
        <w:tc>
          <w:tcPr>
            <w:tcW w:w="1468" w:type="dxa"/>
          </w:tcPr>
          <w:p w14:paraId="6AFB8BE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F33F3A4" w14:textId="77777777" w:rsidR="00093E56" w:rsidRDefault="00093E56">
            <w:pPr>
              <w:spacing w:line="276" w:lineRule="auto"/>
              <w:jc w:val="both"/>
              <w:rPr>
                <w:rFonts w:ascii="Candara" w:eastAsia="Times New Roman" w:hAnsi="Candara" w:cs="Times New Roman"/>
                <w:sz w:val="18"/>
                <w:szCs w:val="18"/>
                <w:lang w:val="sq-AL"/>
              </w:rPr>
            </w:pPr>
          </w:p>
          <w:p w14:paraId="1716ADD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Rregullorja (QRK) 17/2024 përdor formulime të gjera si "palët e interesuara", "ekspertë", dhe "subjekte të tjera", të cilat mundësojnë përfshirjen e kategorive të ndryshme. Meqenëse kjo është çështje e zbatimit, në Objektivin Specifik 1.1 do të shtohet fjalia: "Gjatë zbatimit të këtij objektivi, manuali i ri për konsultim publik dhe materialet trajnuese do të trajtojnë një qasje më gjithëpërfshirëse të konsultimit, duke siguruar që nëpunësit civilë të mos e reduktojnë konsultimin publik vetëm në OSHC-të, por të përfshijnë, sipas natyrës së çështjes, edhe personat e prekur drejtpërdrejt, ekspertët e fushës, dhe përfituesit e shërbimeve."</w:t>
            </w:r>
          </w:p>
          <w:p w14:paraId="5C1749EC" w14:textId="77777777" w:rsidR="00093E56" w:rsidRDefault="00093E56">
            <w:pPr>
              <w:spacing w:line="276" w:lineRule="auto"/>
              <w:jc w:val="both"/>
              <w:rPr>
                <w:rFonts w:ascii="Candara" w:eastAsia="Times New Roman" w:hAnsi="Candara" w:cs="Times New Roman"/>
                <w:sz w:val="18"/>
                <w:szCs w:val="18"/>
                <w:lang w:val="sq-AL"/>
              </w:rPr>
            </w:pPr>
          </w:p>
        </w:tc>
      </w:tr>
      <w:tr w:rsidR="00093E56" w14:paraId="7F9EAB15" w14:textId="77777777" w:rsidTr="00843505">
        <w:trPr>
          <w:trHeight w:val="2850"/>
        </w:trPr>
        <w:tc>
          <w:tcPr>
            <w:tcW w:w="618" w:type="dxa"/>
          </w:tcPr>
          <w:p w14:paraId="1C87C7D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00A9E9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5272904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Platforma online ka nevojë për përmirësim të aksesueshmërisë, veçanërisht për grupet e margjinalizuara.</w:t>
            </w:r>
          </w:p>
        </w:tc>
        <w:tc>
          <w:tcPr>
            <w:tcW w:w="1468" w:type="dxa"/>
          </w:tcPr>
          <w:p w14:paraId="1016891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B968DF3" w14:textId="77777777" w:rsidR="00093E56" w:rsidRDefault="00093E56">
            <w:pPr>
              <w:spacing w:line="276" w:lineRule="auto"/>
              <w:jc w:val="both"/>
              <w:rPr>
                <w:rFonts w:ascii="Candara" w:eastAsia="Times New Roman" w:hAnsi="Candara" w:cs="Times New Roman"/>
                <w:sz w:val="18"/>
                <w:szCs w:val="18"/>
                <w:lang w:val="sq-AL"/>
              </w:rPr>
            </w:pPr>
          </w:p>
          <w:p w14:paraId="69D0858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Në Planin e Veprimit, nën Objektivin Specifik 1.2, do të shtohen dy veprime të reja: Veprimi 2.2.10 - Ofrimi i draft politikave që prekin personat me aftësi të kufizuara në formate të qasshme sipas target grupit (gjuha e shenjave, audio, etj.); Veprimi 2.2.11 - Integrimi në platformë i opsionit të kontaktit të drejtpërdrejtë për personat me aftësi të kufizuara, përmes të cilit mund të kërkojnë dokumentin në formatin e preferuar, asistencë me kuptimin e dokumentit, dhe asistencë me dorëzimin e kontributit. Gjithashtu do të shtohet Treguesi I.2.5: Përqindja e draft politikave që prekin PAK të ofruara në formate të qasshme (vlera bazë: 0; synimi 2028: 70%).</w:t>
            </w:r>
          </w:p>
        </w:tc>
      </w:tr>
      <w:tr w:rsidR="00093E56" w14:paraId="7633908D" w14:textId="77777777" w:rsidTr="00843505">
        <w:trPr>
          <w:trHeight w:val="3135"/>
        </w:trPr>
        <w:tc>
          <w:tcPr>
            <w:tcW w:w="618" w:type="dxa"/>
          </w:tcPr>
          <w:p w14:paraId="0516433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21C33F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F029F6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vazhdimi i konsultimeve fizike, veçanërisht në nivel lokal dhe me grupet e nën përfaqësuara.</w:t>
            </w:r>
          </w:p>
        </w:tc>
        <w:tc>
          <w:tcPr>
            <w:tcW w:w="1468" w:type="dxa"/>
          </w:tcPr>
          <w:p w14:paraId="32A9813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2BCE01A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Konsultimet fizike tashmë janë të obliguara me legjislacionin në fuqi: në nivel qendror përmes Rregullores (QRK) Nr. 17/2024 (Neni 47, 49), dhe në nivel lokal përmes Udhëzimit Administrativ (MAPL) Nr. 04/2023 (Neni 18, 26). Megjithatë, për të siguruar monitorimin e zbatimit të këtyre detyrimeve, në Planin e Veprimit do të shtohen dy tregues të rinj: (1) Përqindja e proceseve të konsultimit publik në nivel qendror që përfshijnë së paku një takim fizik me palët e interesuara (synimi: 2026 - 25%; 2027 - 50%; 2028 - 75%); (2) Përqindja e proceseve të konsultimit publik në nivel lokal që përfshijnë së paku një takim fizik me palët e interesuara (synimi: 2026 - 25%; 2027 - 50%; 2028 - 75%). Synimi afatgjatë për të dy treguesit është 100% deri në vitin 2031.</w:t>
            </w:r>
          </w:p>
          <w:p w14:paraId="192331A0" w14:textId="77777777" w:rsidR="00093E56" w:rsidRDefault="00093E56">
            <w:pPr>
              <w:spacing w:line="276" w:lineRule="auto"/>
              <w:jc w:val="both"/>
              <w:rPr>
                <w:rFonts w:ascii="Candara" w:eastAsia="Times New Roman" w:hAnsi="Candara" w:cs="Times New Roman"/>
                <w:sz w:val="18"/>
                <w:szCs w:val="18"/>
                <w:lang w:val="sq-AL"/>
              </w:rPr>
            </w:pPr>
          </w:p>
        </w:tc>
      </w:tr>
      <w:tr w:rsidR="00093E56" w14:paraId="59D9E5E9" w14:textId="77777777" w:rsidTr="00843505">
        <w:trPr>
          <w:trHeight w:val="3492"/>
        </w:trPr>
        <w:tc>
          <w:tcPr>
            <w:tcW w:w="618" w:type="dxa"/>
          </w:tcPr>
          <w:p w14:paraId="333D71B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740B3D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83F9BE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Indikatorët fokusohen në sasi (numër konsultimesh) dhe jo në cilësi dhe ndikim.</w:t>
            </w:r>
          </w:p>
        </w:tc>
        <w:tc>
          <w:tcPr>
            <w:tcW w:w="1468" w:type="dxa"/>
          </w:tcPr>
          <w:p w14:paraId="6B4C456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810715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Plani i Veprimit aktualisht përfshin disa tregues që adresojnë cilësinë e procesit, si Treguesi I.2.1 (përmbushja e standardeve të konsultimit) dhe Treguesi I.2.4 (përgjigjet ndaj komenteve). Për të matur kënaqshmërinë e publikut me procesin e konsultimit, do të shtohet një veprim i ri: ZQM/ZKM do të zhvillojë dy herë në vit një anketë publike për të matur kënaqshmërinë e qytetarëve dhe OSHC-ve me procesin e konsultimit publik. Anketa do të publikohet në ueb-faqen e ZQM/ZKM-së dhe do të promovohet përmes rrjeteve sociale. Rezultatet do të raportohen në Raportin Vjetor të Konsultimit Publik. Përmbajtja e anketës do të përfshihet në manualin e ri për konsultim publik.</w:t>
            </w:r>
          </w:p>
        </w:tc>
      </w:tr>
      <w:tr w:rsidR="00093E56" w14:paraId="3287F4D8" w14:textId="77777777" w:rsidTr="00843505">
        <w:trPr>
          <w:trHeight w:val="2850"/>
        </w:trPr>
        <w:tc>
          <w:tcPr>
            <w:tcW w:w="618" w:type="dxa"/>
          </w:tcPr>
          <w:p w14:paraId="1755EF6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6CE923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DCB561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Nuk është e qartë se si matet ndikimi real i komenteve të OSHC-ve në vendimmarrje.</w:t>
            </w:r>
          </w:p>
        </w:tc>
        <w:tc>
          <w:tcPr>
            <w:tcW w:w="1468" w:type="dxa"/>
          </w:tcPr>
          <w:p w14:paraId="0CB2869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37E2780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Për të rritur transparencën mbi ndikimin e komenteve në vendimmarrje, do të ndërmerren dy masa: (1) Çdo raport konsultimi do të përfshijë një pasqyrë statistikore që tregon numrin total të komenteve të pranuara, numrin e komenteve të pranuara plotësisht, të pranuara pjesërisht, dhe të refuzuara, së bashku me arsyetimin për çdo vendim. Kjo kërkesë do të integrohet në manualin e ri për konsultim publik. (2) Raporti Vjetor i Konsultimit Publik do të përfshijë të dhëna të agreguara për të gjitha institucionet, duke mundësuar krahasimin e performancës ndërmjet ministrive dhe institucioneve tjera në trajtimin e komenteve të OSHC-ve dhe publikut.</w:t>
            </w:r>
          </w:p>
          <w:p w14:paraId="06241D62" w14:textId="77777777" w:rsidR="00093E56" w:rsidRDefault="00093E56">
            <w:pPr>
              <w:spacing w:line="276" w:lineRule="auto"/>
              <w:jc w:val="both"/>
              <w:rPr>
                <w:rFonts w:ascii="Candara" w:eastAsia="Times New Roman" w:hAnsi="Candara" w:cs="Times New Roman"/>
                <w:sz w:val="18"/>
                <w:szCs w:val="18"/>
                <w:lang w:val="sq-AL"/>
              </w:rPr>
            </w:pPr>
          </w:p>
        </w:tc>
      </w:tr>
      <w:tr w:rsidR="00093E56" w14:paraId="7D1ABF0C" w14:textId="77777777" w:rsidTr="00843505">
        <w:trPr>
          <w:trHeight w:val="1140"/>
        </w:trPr>
        <w:tc>
          <w:tcPr>
            <w:tcW w:w="618" w:type="dxa"/>
          </w:tcPr>
          <w:p w14:paraId="24C8DDC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8F211C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9A11FB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Vendosja e mekanizmave detyrues për përfshirje të OSHC-ve që nga fazat e hershme të politikëbërjes.</w:t>
            </w:r>
          </w:p>
        </w:tc>
        <w:tc>
          <w:tcPr>
            <w:tcW w:w="1468" w:type="dxa"/>
          </w:tcPr>
          <w:p w14:paraId="054A853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6E4C79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Rregullorja (QRK) Nr. 17/2024 (Neni 49, paragrafi 3.1) tashmë obligon organet propozuese të mbajnë takim publik fillestar para fillimit të hartimit të draft politikave. Plani i Veprimit parasheh veprime konkrete për zbatimin e kësaj kërkese, përfshirë Veprimet 1.3.1, 1.3.2, dhe 1.3.3.</w:t>
            </w:r>
          </w:p>
          <w:p w14:paraId="61C92845" w14:textId="77777777" w:rsidR="00093E56" w:rsidRDefault="00093E56">
            <w:pPr>
              <w:spacing w:line="276" w:lineRule="auto"/>
              <w:jc w:val="both"/>
              <w:rPr>
                <w:rFonts w:ascii="Candara" w:eastAsia="Times New Roman" w:hAnsi="Candara" w:cs="Times New Roman"/>
                <w:sz w:val="18"/>
                <w:szCs w:val="18"/>
                <w:lang w:val="sq-AL"/>
              </w:rPr>
            </w:pPr>
          </w:p>
        </w:tc>
      </w:tr>
      <w:tr w:rsidR="00093E56" w14:paraId="76DC0383" w14:textId="77777777" w:rsidTr="00843505">
        <w:trPr>
          <w:trHeight w:val="855"/>
        </w:trPr>
        <w:tc>
          <w:tcPr>
            <w:tcW w:w="618" w:type="dxa"/>
          </w:tcPr>
          <w:p w14:paraId="0620235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9F8EE1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DD1C8C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Kombinimi i konsultimeve online me konsultime fizike tematike, sidomos për grupet e margjinalizuara.</w:t>
            </w:r>
          </w:p>
        </w:tc>
        <w:tc>
          <w:tcPr>
            <w:tcW w:w="1468" w:type="dxa"/>
          </w:tcPr>
          <w:p w14:paraId="740F985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1554F23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Konsultimet fizike tashmë janë të obliguara me legjislacionin në fuqi, dhe në Planin e Veprimit janë shtuar tregues për monitorimin e zbatimit të tyre në nivel qendror dhe lokal.</w:t>
            </w:r>
          </w:p>
        </w:tc>
      </w:tr>
      <w:tr w:rsidR="00093E56" w14:paraId="5D335978" w14:textId="77777777" w:rsidTr="00843505">
        <w:trPr>
          <w:trHeight w:val="1995"/>
        </w:trPr>
        <w:tc>
          <w:tcPr>
            <w:tcW w:w="618" w:type="dxa"/>
          </w:tcPr>
          <w:p w14:paraId="717F9DE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7D923D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041049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Rishikimi i platformës për konsultime publike për funksionalitet, qasje dhe transparencë.</w:t>
            </w:r>
          </w:p>
        </w:tc>
        <w:tc>
          <w:tcPr>
            <w:tcW w:w="1468" w:type="dxa"/>
          </w:tcPr>
          <w:p w14:paraId="0959D6A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568C3E0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Plani i Veprimit tashmë parasheh avancimin teknik të platformës (Veprimi 2.1.10). Përveç kësaj, siç u adresua në komentin O1.2, do të shtohen masa për qasshmërinë e platformës për personat me aftësi të kufizuara. Në kuadër të Veprimit 2.1.10, do të specifikohet që avancimi teknik të përfshijë një rishikim të funksionalitetit, qasshmërisë dhe transparencës së platformës, bazuar në feedback nga përdoruesit (OSHC-të dhe publiku).</w:t>
            </w:r>
          </w:p>
        </w:tc>
      </w:tr>
      <w:tr w:rsidR="00093E56" w14:paraId="4805F894" w14:textId="77777777" w:rsidTr="00843505">
        <w:trPr>
          <w:trHeight w:val="2850"/>
        </w:trPr>
        <w:tc>
          <w:tcPr>
            <w:tcW w:w="618" w:type="dxa"/>
          </w:tcPr>
          <w:p w14:paraId="15FC37C6"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7F45EF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4EC719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Mungesë detajimi mbi mekanizmat e financimit publik dhe bashkëfinancimit</w:t>
            </w:r>
          </w:p>
        </w:tc>
        <w:tc>
          <w:tcPr>
            <w:tcW w:w="1468" w:type="dxa"/>
          </w:tcPr>
          <w:p w14:paraId="3DCD8BD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17B5C0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Mekanizmat e financimit publik dhe bashkëfinancimit janë të detajuara në Planin e Veprimit. Objektivi Specifik 2.1 parasheh rishikimin e kritereve, standardeve dhe procedurave të financimit publik (Veprimi 2.1.1), trajnime për nëpunësit civilë (Veprimi 2.1.2), dhe avancimin e platformës për financim publik (Veprimi 2.1.10). Objektivi Specifik 2.2 parasheh analizë krahasuese mbi fondet për bashkëfinancim (Veprimi 2.2.1), përshtatjen e modelit (Veprimi 2.2.2), vendosjen e mekanizmit - fondi ose vija buxhetore (Veprimi 2.2.3), dhe përcaktimin e standardeve dhe procedurave institucionale (Veprimi 2.2.4). Detajet specifike do të përcaktohen përmes akteve rregullatore që do të hartohen gjatë zbatimit.</w:t>
            </w:r>
          </w:p>
          <w:p w14:paraId="4485471D" w14:textId="77777777" w:rsidR="00093E56" w:rsidRDefault="00093E56">
            <w:pPr>
              <w:spacing w:line="276" w:lineRule="auto"/>
              <w:jc w:val="both"/>
              <w:rPr>
                <w:rFonts w:ascii="Candara" w:eastAsia="Times New Roman" w:hAnsi="Candara" w:cs="Times New Roman"/>
                <w:sz w:val="18"/>
                <w:szCs w:val="18"/>
                <w:lang w:val="sq-AL"/>
              </w:rPr>
            </w:pPr>
          </w:p>
        </w:tc>
      </w:tr>
      <w:tr w:rsidR="00093E56" w14:paraId="6FF99C9A" w14:textId="77777777" w:rsidTr="00843505">
        <w:trPr>
          <w:trHeight w:val="2565"/>
        </w:trPr>
        <w:tc>
          <w:tcPr>
            <w:tcW w:w="618" w:type="dxa"/>
          </w:tcPr>
          <w:p w14:paraId="281E25D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79DE44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F4A217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Rekomandohet që themelimi i Fondit për bashkëfinancimin e projekteve të OSHC-ve të prezantohet si indikator në kornizën logjike dhe të lidhet me veprimin 2.2.3, përkatësisht me miratimin e aktit rregullator që përcakton standardet, procedurat dhe përgjegjësitë institucionale për zbatimin e tij</w:t>
            </w:r>
          </w:p>
        </w:tc>
        <w:tc>
          <w:tcPr>
            <w:tcW w:w="1468" w:type="dxa"/>
          </w:tcPr>
          <w:p w14:paraId="09F3F27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6EA94CF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tashmë është e adresuar. Treguesi II.2.1 parasheh miratimin e kuadrit rregullator dhe institucional për bashkëfinancim, dhe përshkrimi i rezultatit përfshin qartësisht ngritjen e Fondit për bashkëfinancim: "Fondi i buxhetit të shtetit: Fondi për bashkëfinancimin e projekteve të OSHC-ve të financuara nga BE-ja dhe donatorëve tjerë është ngritur dhe menaxhohet nga institucioni përkatës në përputhje me procedurat e miratuara." Veprimi 2.2.3 parasheh vendosjen e mekanizmit (fondi ose vija buxhetore), ndërsa Veprimi 2.2.4 parasheh përcaktimin e standardeve, procedurave dhe mekanizmave institucionalë.</w:t>
            </w:r>
          </w:p>
        </w:tc>
      </w:tr>
      <w:tr w:rsidR="00093E56" w14:paraId="12FCF95E" w14:textId="77777777" w:rsidTr="00843505">
        <w:trPr>
          <w:trHeight w:val="3612"/>
        </w:trPr>
        <w:tc>
          <w:tcPr>
            <w:tcW w:w="618" w:type="dxa"/>
          </w:tcPr>
          <w:p w14:paraId="55F9C53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A10BAC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1ED9792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Objektivat e mbështetjes financiare për shoqërinë civile në kornizën logjike duhet të orientohen drejt adresimit të nevojave reale dhe aktuale të qytetarëve/eve të Kosovës.</w:t>
            </w:r>
          </w:p>
        </w:tc>
        <w:tc>
          <w:tcPr>
            <w:tcW w:w="1468" w:type="dxa"/>
          </w:tcPr>
          <w:p w14:paraId="1809640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3B4EFD0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Rregullorja (MF) Nr. 04/2017 për Kriteret, Standardet dhe Procedurat e Financimit Publik të OJQ-ve (Neni 5) dhe Manuali për Implementim tashmë kërkojnë që ofruesit e mbështetjes financiare të përcaktojnë nevojat prioritare për financim, të bazuara në vlerësimin e situatës aktuale dhe nevojave të qytetarëve. Megjithatë, në praktikë, shumë pak institucione e zbatojnë këtë kërkesë. Për të siguruar zbatimin, në Planin e Veprimit do të shtohet Treguesi I.2.X: Përqindja e thirrjeve publike për financim të OSHC-ve që janë bazuar në një vlerësim të dokumentuar të nevojave prioritare (vlera bazë: kërkohet; synimi 2026: 30%; synimi 2027: 50%; synimi 2028: 70%; synimi 2031:100%).</w:t>
            </w:r>
          </w:p>
          <w:p w14:paraId="604D5D31" w14:textId="77777777" w:rsidR="00093E56" w:rsidRDefault="00093E56">
            <w:pPr>
              <w:spacing w:line="276" w:lineRule="auto"/>
              <w:jc w:val="both"/>
              <w:rPr>
                <w:rFonts w:ascii="Candara" w:eastAsia="Times New Roman" w:hAnsi="Candara" w:cs="Times New Roman"/>
                <w:sz w:val="18"/>
                <w:szCs w:val="18"/>
                <w:lang w:val="sq-AL"/>
              </w:rPr>
            </w:pPr>
          </w:p>
        </w:tc>
      </w:tr>
      <w:tr w:rsidR="00093E56" w14:paraId="4CFFFFB6" w14:textId="77777777" w:rsidTr="00843505">
        <w:trPr>
          <w:trHeight w:val="2565"/>
        </w:trPr>
        <w:tc>
          <w:tcPr>
            <w:tcW w:w="618" w:type="dxa"/>
          </w:tcPr>
          <w:p w14:paraId="0DF7597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52F637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608ED5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Vendosja e objektivave të bazuara vetëm në numrin e OJQ-ve të mbështetura nuk siguron ndikim të matshëm dhe rrezikon të mbetet formale. Rekomandohet që objektivat të fokusohen në numrin e shërbimeve mangu të ofruara përmes kontraktimit të OJQ-ve, siç janë strehimoret, të cilat </w:t>
            </w:r>
            <w:r>
              <w:rPr>
                <w:rFonts w:ascii="Candara" w:eastAsia="Times New Roman" w:hAnsi="Candara" w:cs="Times New Roman"/>
                <w:sz w:val="18"/>
                <w:szCs w:val="18"/>
                <w:lang w:val="sq-AL"/>
              </w:rPr>
              <w:lastRenderedPageBreak/>
              <w:t>ofrojnë shërbime jetike që nuk sigurohen drejtpërdrejt nga shteti.</w:t>
            </w:r>
          </w:p>
        </w:tc>
        <w:tc>
          <w:tcPr>
            <w:tcW w:w="1468" w:type="dxa"/>
          </w:tcPr>
          <w:p w14:paraId="7F869D5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6A4DFD6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Plani i Veprimit parasheh përgatitjen e një katalogu të llojeve të shërbimeve publike (Veprimi 3.1.3). Për të siguruar që kontraktimi i OSHC-ve të orientohet drejt boshllëqeve reale në shërbime, në Planin e Veprimit do të shtohet një veprim i ri: Hartimi i një analize të boshllëqeve në ofrimin e shërbimeve publike, e cila do të identifikojë shërbimet që mungojnë ose nuk ofrohen mjaftueshëm nga institucionet publike (p.sh. strehimore, shërbime për shëndetin mendor, etj.). Kjo analizë do të shërbejë si bazë për prioritizimin e thirrjeve publike për kontraktimin e OSHC-ve.</w:t>
            </w:r>
          </w:p>
        </w:tc>
      </w:tr>
      <w:tr w:rsidR="00093E56" w14:paraId="1847D60C" w14:textId="77777777" w:rsidTr="00843505">
        <w:trPr>
          <w:trHeight w:val="2850"/>
        </w:trPr>
        <w:tc>
          <w:tcPr>
            <w:tcW w:w="618" w:type="dxa"/>
          </w:tcPr>
          <w:p w14:paraId="1401BD0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1BDECE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E35D2E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Buxhet i ulët dhe sipërfaqësor në Planin e Veprimit, që nuk përputhet me objektivat e shpallura.</w:t>
            </w:r>
          </w:p>
        </w:tc>
        <w:tc>
          <w:tcPr>
            <w:tcW w:w="1468" w:type="dxa"/>
          </w:tcPr>
          <w:p w14:paraId="41E7B25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70B2959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Sipas Rregullores (QRK) Nr. 17/2024, vlerësimi i ndikimit buxhetor duhet ti bashkëngjitet propozimit gjatë procesit të konsultimit publik. Kapitulli 1.7 i Strategjisë (Ndikimi buxhetor i zbatimit të strategjisë) do të plotësohet me një analizë më të detajuar të kostos, në përputhje me metodologjinë e Zyrës për Planifikim Strategjik, duke përfshirë: (1) vlerësimin e kostos së Planit të Veprimit sipas objektivave strategjikë dhe objektivave specifike; (2) ndarjen e kostos sipas klasifikimit ekonomik të shpenzimeve; dhe (3) identifikimin e burimeve të financimit të siguruara dhe atyre që kërkohen. Ky plotësim do të bëhet para miratimit final të Strategjisë.</w:t>
            </w:r>
          </w:p>
          <w:p w14:paraId="0E20B837" w14:textId="77777777" w:rsidR="00093E56" w:rsidRDefault="00093E56">
            <w:pPr>
              <w:spacing w:line="276" w:lineRule="auto"/>
              <w:jc w:val="both"/>
              <w:rPr>
                <w:rFonts w:ascii="Candara" w:eastAsia="Times New Roman" w:hAnsi="Candara" w:cs="Times New Roman"/>
                <w:sz w:val="18"/>
                <w:szCs w:val="18"/>
                <w:lang w:val="sq-AL"/>
              </w:rPr>
            </w:pPr>
          </w:p>
        </w:tc>
      </w:tr>
      <w:tr w:rsidR="00093E56" w14:paraId="09EBDEA0" w14:textId="77777777" w:rsidTr="00843505">
        <w:trPr>
          <w:trHeight w:val="3990"/>
        </w:trPr>
        <w:tc>
          <w:tcPr>
            <w:tcW w:w="618" w:type="dxa"/>
          </w:tcPr>
          <w:p w14:paraId="16EB497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B6D985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167B34F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OSHC-të, veçanërisht ato që ofrojnë shërbime sociale, janë në krizë financiare, me rrezik të përkeqësimit të situatës.</w:t>
            </w:r>
          </w:p>
        </w:tc>
        <w:tc>
          <w:tcPr>
            <w:tcW w:w="1468" w:type="dxa"/>
          </w:tcPr>
          <w:p w14:paraId="0FAB303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35654A9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Arsyet: Vërejtja pranohet pjesërisht si shqetësim i dokumentuar dhe i vlefshëm. Seksioni "Analiza e problemit" në Strategji do të plotësohet me informacion mbi gjendjen financiare të OSHC-ve që ofrojnë shërbime sociale. Sipas KOMF-it (mars 2024), sfida kryesore për ofruesit e shërbimeve sociale nga sektori joqeveritar mbetet financimi i paqëndrueshëm nga Ministria e Financave, Punës dhe Transfereve dhe nga komunat. Mjetet financiare të ndara janë të pamjaftueshme dhe mbulojnë vetëm një pjesë të vogël të kostove të përgjithshme të shërbimeve, duke rrezikuar ndërprerjen e shërbimeve (https://komfkosova.org/unsustainable-social-services/). Strategjia e adreson këtë çështje përmes Objektivit Strategjik 2 (financimi i qëndrueshëm) dhe Objektivit Strategjik 3, veçanërisht Objektivit Specifik 3.3 (Sigurimi i mbështetjes financiare për OSHC-të përmes granteve dhe mekanizmave të tjerë mbështetës).</w:t>
            </w:r>
          </w:p>
        </w:tc>
      </w:tr>
      <w:tr w:rsidR="00093E56" w14:paraId="07E8E8EA" w14:textId="77777777" w:rsidTr="00843505">
        <w:trPr>
          <w:trHeight w:val="60"/>
        </w:trPr>
        <w:tc>
          <w:tcPr>
            <w:tcW w:w="618" w:type="dxa"/>
          </w:tcPr>
          <w:p w14:paraId="38C84A16"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6CEFD0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DCE5AA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Nevoja për funksionim më të qartë të mbështetjes jo-financiare dhe qasjes në hapësirat publike.</w:t>
            </w:r>
          </w:p>
        </w:tc>
        <w:tc>
          <w:tcPr>
            <w:tcW w:w="1468" w:type="dxa"/>
          </w:tcPr>
          <w:p w14:paraId="7079640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BFE6D6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është e adresuar në Objektivin Specifik 2.3 (Mbështetje jo-financiare e përmirësuar për OSHC-të sipas ligjit). Plani i Veprimit parasheh: analizë krahasuese mbi mbështetjen jo-financiare (Veprimi 2.3.1); përmirësimin e standardeve, kritereve dhe procedurave transparente për ndarjen e pronave publike (Veprimi 2.3.2); hartimin e një manuali/udhëzuesi (Veprimi 2.3.3); ngritjen e kapaciteteve të institucioneve (Veprimi 2.3.4); dhe zhvillimin e Regjistrit Elektronik të pronës shtetërore të ndarë për OSHC-të (Veprimi 2.3.5).</w:t>
            </w:r>
          </w:p>
          <w:p w14:paraId="6AB6F52E" w14:textId="77777777" w:rsidR="00093E56" w:rsidRDefault="00093E56">
            <w:pPr>
              <w:spacing w:line="276" w:lineRule="auto"/>
              <w:jc w:val="both"/>
              <w:rPr>
                <w:rFonts w:ascii="Candara" w:eastAsia="Times New Roman" w:hAnsi="Candara" w:cs="Times New Roman"/>
                <w:sz w:val="18"/>
                <w:szCs w:val="18"/>
                <w:lang w:val="sq-AL"/>
              </w:rPr>
            </w:pPr>
          </w:p>
        </w:tc>
      </w:tr>
      <w:tr w:rsidR="00093E56" w14:paraId="76BA8E49" w14:textId="77777777" w:rsidTr="00843505">
        <w:trPr>
          <w:trHeight w:val="1140"/>
        </w:trPr>
        <w:tc>
          <w:tcPr>
            <w:tcW w:w="618" w:type="dxa"/>
          </w:tcPr>
          <w:p w14:paraId="0D3C0E8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4055F3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D23114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Mungesë e ndërlidhjes së aktiviteteve me kufizimet ligjore ekzistuese (Ligji për Menaxhimin e Financave Publike).</w:t>
            </w:r>
          </w:p>
        </w:tc>
        <w:tc>
          <w:tcPr>
            <w:tcW w:w="1468" w:type="dxa"/>
          </w:tcPr>
          <w:p w14:paraId="755ACF7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37D71AF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dhe Plani i Veprimit janë hartuar në përputhje me kuadrin ligjor në fuqi, duke përfshirë Ligjin për Menaxhimin e Financave Publike. Shqetësime të mëtejshme konkrete rreth aktiviteteve specifike mund të ngrihen gjatë procesit të monitorimit dhe zbatimit të Strategjisë.</w:t>
            </w:r>
          </w:p>
          <w:p w14:paraId="52328238" w14:textId="77777777" w:rsidR="00093E56" w:rsidRDefault="00093E56">
            <w:pPr>
              <w:spacing w:line="276" w:lineRule="auto"/>
              <w:jc w:val="both"/>
              <w:rPr>
                <w:rFonts w:ascii="Candara" w:eastAsia="Times New Roman" w:hAnsi="Candara" w:cs="Times New Roman"/>
                <w:sz w:val="18"/>
                <w:szCs w:val="18"/>
                <w:lang w:val="sq-AL"/>
              </w:rPr>
            </w:pPr>
          </w:p>
        </w:tc>
      </w:tr>
      <w:tr w:rsidR="00093E56" w14:paraId="0EE9E8DB" w14:textId="77777777" w:rsidTr="00843505">
        <w:trPr>
          <w:trHeight w:val="1995"/>
        </w:trPr>
        <w:tc>
          <w:tcPr>
            <w:tcW w:w="618" w:type="dxa"/>
          </w:tcPr>
          <w:p w14:paraId="6DF16E9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22CA29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566984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Mungesë e indikatorëve që matin qëndrueshmërinë reale financiare të OSHC-ve.</w:t>
            </w:r>
          </w:p>
        </w:tc>
        <w:tc>
          <w:tcPr>
            <w:tcW w:w="1468" w:type="dxa"/>
          </w:tcPr>
          <w:p w14:paraId="2BECCDAF"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369B900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tashmë përfshin një tregues specifik për qëndrueshmërinë financiare të OSHC-ve. Treguesi në nivel të Objektivës Strategjike 2, II.1 mat përqindjen e OSHC-ve që demonstrojnë qëndrueshmëri financiare, përmes dy kritereve: (1) sigurimi i financimit të kontraktuar për tre vitet e ardhshme, dhe (2) posedimi i së paku dy burimeve të pavarura të financimit. Synimi është rritja e kësaj përqindjeje për 15% deri në 2026 dhe për 30% deri në 2028.</w:t>
            </w:r>
          </w:p>
          <w:p w14:paraId="08F089FA" w14:textId="77777777" w:rsidR="00093E56" w:rsidRDefault="00093E56">
            <w:pPr>
              <w:spacing w:line="276" w:lineRule="auto"/>
              <w:jc w:val="both"/>
              <w:rPr>
                <w:rFonts w:ascii="Candara" w:eastAsia="Times New Roman" w:hAnsi="Candara" w:cs="Times New Roman"/>
                <w:sz w:val="18"/>
                <w:szCs w:val="18"/>
                <w:lang w:val="sq-AL"/>
              </w:rPr>
            </w:pPr>
          </w:p>
        </w:tc>
      </w:tr>
      <w:tr w:rsidR="00093E56" w14:paraId="5EB52B40" w14:textId="77777777" w:rsidTr="00843505">
        <w:trPr>
          <w:trHeight w:val="1140"/>
        </w:trPr>
        <w:tc>
          <w:tcPr>
            <w:tcW w:w="618" w:type="dxa"/>
          </w:tcPr>
          <w:p w14:paraId="3E96D36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B38F8F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13B356A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Aktivitetet nuk janë të mbështetura nga analiza reale e kostos.</w:t>
            </w:r>
          </w:p>
        </w:tc>
        <w:tc>
          <w:tcPr>
            <w:tcW w:w="1468" w:type="dxa"/>
          </w:tcPr>
          <w:p w14:paraId="620FE60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6F7D46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Shih arsyetimin për komentin O2.5. Kapitulli 1.7 i Strategjisë (Ndikimi buxhetor i zbatimit të strategjisë) do të plotësohet me një analizë më të detajuar të kostos, në përputhje me metodologjinë e Zyrës për Planifikim Strategjik.</w:t>
            </w:r>
          </w:p>
          <w:p w14:paraId="3C9C9962" w14:textId="77777777" w:rsidR="00093E56" w:rsidRDefault="00093E56">
            <w:pPr>
              <w:spacing w:line="276" w:lineRule="auto"/>
              <w:jc w:val="both"/>
              <w:rPr>
                <w:rFonts w:ascii="Candara" w:eastAsia="Times New Roman" w:hAnsi="Candara" w:cs="Times New Roman"/>
                <w:sz w:val="18"/>
                <w:szCs w:val="18"/>
                <w:lang w:val="sq-AL"/>
              </w:rPr>
            </w:pPr>
          </w:p>
        </w:tc>
      </w:tr>
      <w:tr w:rsidR="00093E56" w14:paraId="7B755DBA" w14:textId="77777777" w:rsidTr="00843505">
        <w:trPr>
          <w:trHeight w:val="1425"/>
        </w:trPr>
        <w:tc>
          <w:tcPr>
            <w:tcW w:w="618" w:type="dxa"/>
          </w:tcPr>
          <w:p w14:paraId="6749309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DDA9BE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69BAE7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Zhvillimi i mekanizmave të qëndrueshëm të financimit publik dhe bashkëfinancimit.</w:t>
            </w:r>
          </w:p>
        </w:tc>
        <w:tc>
          <w:tcPr>
            <w:tcW w:w="1468" w:type="dxa"/>
          </w:tcPr>
          <w:p w14:paraId="5D817C2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4B83B07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rekomandim reflektohet plotësisht në Objektivin Strategjik 2 dhe objektivat e tij specifike: OSpf 2.1 (Avancimi i mekanizmave për zbatimin efektiv dhe transparent të financimit publik të OSHC-ve) dhe OSpf 2.2 (Zhvillimi i mundësive dhe mekanizmave për krijimin e fondeve bashkëfinancuese për projektet e BE-së dhe donatorëve të tjerë).</w:t>
            </w:r>
          </w:p>
          <w:p w14:paraId="16169596" w14:textId="77777777" w:rsidR="00093E56" w:rsidRDefault="00093E56">
            <w:pPr>
              <w:spacing w:line="276" w:lineRule="auto"/>
              <w:jc w:val="both"/>
              <w:rPr>
                <w:rFonts w:ascii="Candara" w:eastAsia="Times New Roman" w:hAnsi="Candara" w:cs="Times New Roman"/>
                <w:sz w:val="18"/>
                <w:szCs w:val="18"/>
                <w:lang w:val="sq-AL"/>
              </w:rPr>
            </w:pPr>
          </w:p>
        </w:tc>
      </w:tr>
      <w:tr w:rsidR="00093E56" w14:paraId="73FD24E9" w14:textId="77777777" w:rsidTr="00843505">
        <w:trPr>
          <w:trHeight w:val="1710"/>
        </w:trPr>
        <w:tc>
          <w:tcPr>
            <w:tcW w:w="618" w:type="dxa"/>
          </w:tcPr>
          <w:p w14:paraId="6099984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F74222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254E1E4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Rritja e transparencës dhe parashikueshmërisë buxhetore.</w:t>
            </w:r>
          </w:p>
        </w:tc>
        <w:tc>
          <w:tcPr>
            <w:tcW w:w="1468" w:type="dxa"/>
          </w:tcPr>
          <w:p w14:paraId="40EBB4E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2D87BD1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është e adresuar në Planin e Veprimit. Transparenca dhe parashikueshmëria buxhetore trajtohen përmes: Veprimit 2.1.8 (Prezantimi i planeve vjetore për financimin publik dhe organizimi i ditëve të hapura për financimin publik); Veprimit 2.1.9 (Raporti vjetor mbi financimin publik për OSHC-të); dhe Veprimit 2.1.7 (Konsultimi i OSHC-ve për përcaktimin e prioriteteve të planeve vjetore për aplikime për grante).</w:t>
            </w:r>
          </w:p>
          <w:p w14:paraId="4B6EC80B" w14:textId="77777777" w:rsidR="00093E56" w:rsidRDefault="00093E56">
            <w:pPr>
              <w:spacing w:line="276" w:lineRule="auto"/>
              <w:jc w:val="both"/>
              <w:rPr>
                <w:rFonts w:ascii="Candara" w:eastAsia="Times New Roman" w:hAnsi="Candara" w:cs="Times New Roman"/>
                <w:sz w:val="18"/>
                <w:szCs w:val="18"/>
                <w:lang w:val="sq-AL"/>
              </w:rPr>
            </w:pPr>
          </w:p>
        </w:tc>
      </w:tr>
      <w:tr w:rsidR="00093E56" w14:paraId="070266DF" w14:textId="77777777" w:rsidTr="00843505">
        <w:trPr>
          <w:trHeight w:val="2029"/>
        </w:trPr>
        <w:tc>
          <w:tcPr>
            <w:tcW w:w="618" w:type="dxa"/>
          </w:tcPr>
          <w:p w14:paraId="517DF375"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7F1B03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3E02DAB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Harmonizimi i aktiviteteve me kornizën ligjore ekzistuese.</w:t>
            </w:r>
          </w:p>
        </w:tc>
        <w:tc>
          <w:tcPr>
            <w:tcW w:w="1468" w:type="dxa"/>
          </w:tcPr>
          <w:p w14:paraId="0E8E88E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308F5D7E" w14:textId="2FAB21DA" w:rsidR="00093E56" w:rsidRDefault="00843505" w:rsidP="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dhe Plani i Veprimit janë hartuar në përputhje me kornizën ligjore në fuqi. Aktivitetet e parashikuara që kërkojnë ndryshime ose plotësime të legjislacionit (p.sh. rregullorja për kontraktimin e OSHC-ve për shërbime publike, kuadri rregullator për bashkëfinancim) janë identifikuar qartësisht si veprime specifike në Planin e Veprimit.</w:t>
            </w:r>
          </w:p>
        </w:tc>
      </w:tr>
      <w:tr w:rsidR="00093E56" w14:paraId="47A86A90" w14:textId="77777777" w:rsidTr="00843505">
        <w:trPr>
          <w:trHeight w:val="1995"/>
        </w:trPr>
        <w:tc>
          <w:tcPr>
            <w:tcW w:w="618" w:type="dxa"/>
          </w:tcPr>
          <w:p w14:paraId="0231200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1A75E8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CE31A2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Mungesë e procedurave të qarta dhe të standardizuara për kontraktimin social.</w:t>
            </w:r>
          </w:p>
        </w:tc>
        <w:tc>
          <w:tcPr>
            <w:tcW w:w="1468" w:type="dxa"/>
          </w:tcPr>
          <w:p w14:paraId="2F6FD76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0A6BCD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Kjo çështje është e adresuar në Objektivin Specifik 3.1 (Përmirësimi dhe miratimi i një rregulloreje të unifikuar për ofrimin e shërbimeve publike dhe vendosja e standardeve minimale). Plani i Veprimit parasheh: hartimin e rregullores së re për standardet, procedurat dhe kriteret (Veprimi 3.1.1); përgatitjen e një manuali udhëzues për kontraktimin e OSHC-ve </w:t>
            </w:r>
            <w:r>
              <w:rPr>
                <w:rFonts w:ascii="Candara" w:eastAsia="Times New Roman" w:hAnsi="Candara" w:cs="Times New Roman"/>
                <w:sz w:val="18"/>
                <w:szCs w:val="18"/>
                <w:lang w:val="sq-AL"/>
              </w:rPr>
              <w:lastRenderedPageBreak/>
              <w:t>(Veprimi 3.1.2); dhe kategorizimin e shërbimeve me katalog të llojeve të shërbimeve publike (Veprimi 3.1.3).</w:t>
            </w:r>
          </w:p>
        </w:tc>
      </w:tr>
      <w:tr w:rsidR="00093E56" w14:paraId="422D2995" w14:textId="77777777" w:rsidTr="00843505">
        <w:trPr>
          <w:trHeight w:val="1710"/>
        </w:trPr>
        <w:tc>
          <w:tcPr>
            <w:tcW w:w="618" w:type="dxa"/>
          </w:tcPr>
          <w:p w14:paraId="230CEEF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237DBE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3FC483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Praktikat e mira ndërkombëtare për kontraktim social nuk janë reflektuar mjaftueshëm.</w:t>
            </w:r>
          </w:p>
        </w:tc>
        <w:tc>
          <w:tcPr>
            <w:tcW w:w="1468" w:type="dxa"/>
          </w:tcPr>
          <w:p w14:paraId="306C611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8D699A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Në kuadër të Veprimit 3.1.1 (Hartimi i rregullores së re për standardet, procedurat dhe kriteret që rregullojnë ofrimin e shërbimeve publike nga OSHC-të), do të specifikohet që procesi i hartimit të përfshijë një analizë të praktikave të mira ndërkombëtare dhe rajonale për kontraktimin social, veçanërisht nga vendet e BE-së dhe rajonit të Ballkanit Perëndimor.</w:t>
            </w:r>
          </w:p>
          <w:p w14:paraId="6BD0BE9B" w14:textId="77777777" w:rsidR="00093E56" w:rsidRDefault="00093E56">
            <w:pPr>
              <w:spacing w:line="276" w:lineRule="auto"/>
              <w:jc w:val="both"/>
              <w:rPr>
                <w:rFonts w:ascii="Candara" w:eastAsia="Times New Roman" w:hAnsi="Candara" w:cs="Times New Roman"/>
                <w:sz w:val="18"/>
                <w:szCs w:val="18"/>
                <w:lang w:val="sq-AL"/>
              </w:rPr>
            </w:pPr>
          </w:p>
        </w:tc>
      </w:tr>
      <w:tr w:rsidR="00093E56" w14:paraId="3D66F2D6" w14:textId="77777777" w:rsidTr="00843505">
        <w:trPr>
          <w:trHeight w:val="4031"/>
        </w:trPr>
        <w:tc>
          <w:tcPr>
            <w:tcW w:w="618" w:type="dxa"/>
          </w:tcPr>
          <w:p w14:paraId="59A11AE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492380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487D620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Shoqëria civile trajtohet më shumë si dhënëse inputesh sesa si ofruese shërbimesh publike.</w:t>
            </w:r>
          </w:p>
        </w:tc>
        <w:tc>
          <w:tcPr>
            <w:tcW w:w="1468" w:type="dxa"/>
          </w:tcPr>
          <w:p w14:paraId="0D258FF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50FC04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e vlerëson rolin e OSHC-ve si partnerë në shumësinë e roleve që shoqëria civile mund të luajë në një shoqëri demokratike. Objektivi Strategjik 1 fokusohet në rolin e OSHC-ve në pjesëmarrjen publike dhe konsultimin, duke njohur rolin e shoqërisë civile si ndërmjetësuese e vullnetit të qytetarëve dhe grupeve të qytetarëve, qoftë në bashkëveprim me shtetin, qoftë në kundërshtim konstruktiv me të. Objektivi Strategjik 2 jo vetëm që njeh heterogjenitetin e OShC-ve, por edhe zotohet të sigurojë qëndrueshmërinë financiare të tyre, përmes mbështetjes së drejtpërdrejtë financiare, ndërtimit të një ekosistemi ku OSHC-të mund të mobilizojnë fonde nga individë privatë dhe biznese, si dhe mbështetjes jofinanciare që mund të ofrojë shteti. Dhe për fund, Objektivi Strategjik 3 i kushtohet tërësisht zhvillimit të praktikave dhe procedurave për kontraktimin e OSHC-ve si ofruese të shërbimeve publike për të mirën e qytetarëve.</w:t>
            </w:r>
          </w:p>
          <w:p w14:paraId="785058AE" w14:textId="77777777" w:rsidR="00093E56" w:rsidRDefault="00093E56">
            <w:pPr>
              <w:spacing w:line="276" w:lineRule="auto"/>
              <w:jc w:val="both"/>
              <w:rPr>
                <w:rFonts w:ascii="Candara" w:eastAsia="Times New Roman" w:hAnsi="Candara" w:cs="Times New Roman"/>
                <w:sz w:val="18"/>
                <w:szCs w:val="18"/>
                <w:lang w:val="sq-AL"/>
              </w:rPr>
            </w:pPr>
          </w:p>
        </w:tc>
      </w:tr>
      <w:tr w:rsidR="00093E56" w14:paraId="4E51BFBB" w14:textId="77777777" w:rsidTr="00843505">
        <w:trPr>
          <w:trHeight w:val="1710"/>
        </w:trPr>
        <w:tc>
          <w:tcPr>
            <w:tcW w:w="618" w:type="dxa"/>
          </w:tcPr>
          <w:p w14:paraId="317EDDA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B0AF8D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1EF8EC0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Paqartësi rreth përgjegjësive institucionale për zbatimin e këtij objektivi.</w:t>
            </w:r>
          </w:p>
        </w:tc>
        <w:tc>
          <w:tcPr>
            <w:tcW w:w="1468" w:type="dxa"/>
          </w:tcPr>
          <w:p w14:paraId="4E84A57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51CD5C1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përcakton produktin (output) konkret për secilin veprim, duke përfshirë: rregulloren e re të miratuar (Veprimi 3.1.1), manualin udhëzues të publikuar (Veprimi 3.1.2), katalogun e shërbimeve publike (Veprimi 3.1.3), fushatën e informimit me 4 sesione (Veprimi 3.1.4), dhe rezultate të tjera të matshme për veprimet e mbetura.</w:t>
            </w:r>
          </w:p>
        </w:tc>
      </w:tr>
      <w:tr w:rsidR="00093E56" w14:paraId="0FCB3C64" w14:textId="77777777" w:rsidTr="00843505">
        <w:trPr>
          <w:trHeight w:val="1710"/>
        </w:trPr>
        <w:tc>
          <w:tcPr>
            <w:tcW w:w="618" w:type="dxa"/>
          </w:tcPr>
          <w:p w14:paraId="313554A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5FE78B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E69043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Aktivitetet janë të përgjithshme dhe jo të lidhura me rezultate konkrete.</w:t>
            </w:r>
          </w:p>
        </w:tc>
        <w:tc>
          <w:tcPr>
            <w:tcW w:w="1468" w:type="dxa"/>
          </w:tcPr>
          <w:p w14:paraId="4DD319E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36968D9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nuk pranohet për shkak të formulimit të përgjithshëm. Plani i Veprimit përcakton produktin (output) konkret për secilin veprim, duke përfshirë: rregulloren e re të miratuar (Veprimi 3.1.1), manualin udhëzues të publikuar (Veprimi 3.1.2), katalogun e shërbimeve publike (Veprimi 3.1.3), fushatën e informimit me 4 sesione (Veprimi 3.1.4), dhe rezultate të tjera të matshme për veprimet e mbetura.</w:t>
            </w:r>
          </w:p>
          <w:p w14:paraId="48C384D2" w14:textId="77777777" w:rsidR="00093E56" w:rsidRDefault="00093E56">
            <w:pPr>
              <w:spacing w:line="276" w:lineRule="auto"/>
              <w:jc w:val="both"/>
              <w:rPr>
                <w:rFonts w:ascii="Candara" w:eastAsia="Times New Roman" w:hAnsi="Candara" w:cs="Times New Roman"/>
                <w:sz w:val="18"/>
                <w:szCs w:val="18"/>
                <w:lang w:val="sq-AL"/>
              </w:rPr>
            </w:pPr>
          </w:p>
        </w:tc>
      </w:tr>
      <w:tr w:rsidR="00093E56" w14:paraId="104F7B5D" w14:textId="77777777" w:rsidTr="00843505">
        <w:trPr>
          <w:trHeight w:val="2330"/>
        </w:trPr>
        <w:tc>
          <w:tcPr>
            <w:tcW w:w="618" w:type="dxa"/>
          </w:tcPr>
          <w:p w14:paraId="02D8827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71233F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2061A7E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Buxheti i pamjaftueshëm për të mbështetur kontraktimin real të shërbimeve.</w:t>
            </w:r>
          </w:p>
        </w:tc>
        <w:tc>
          <w:tcPr>
            <w:tcW w:w="1468" w:type="dxa"/>
          </w:tcPr>
          <w:p w14:paraId="5D728FA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0EFE9C0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Buxheti i parashikuar në Planin e Veprimit për Objektivin Strategjik 3 mbulon aktivitetet përgatitore dhe administrative (hartimi i rregullores, manuali, trajnimet, katalogu i shërbimeve). Financimi i kontratave reale për ofrimin e shërbimeve publike nga OSHC-të do të sigurohet nga buxhetet sektoriale të ministrive përkatëse (shëndetësia, mirëqenia sociale, arsimi, etj.), në bazë të kuadrit rregullator që do të krijohet përmes këtij objektivi. Roli i kësaj Strategjie është krijimi i kornizës ligjore dhe procedurale, jo financimi i drejtpërdrejtë i shërbimeve.</w:t>
            </w:r>
          </w:p>
          <w:p w14:paraId="58B419D2" w14:textId="77777777" w:rsidR="00093E56" w:rsidRDefault="00093E56">
            <w:pPr>
              <w:spacing w:line="276" w:lineRule="auto"/>
              <w:jc w:val="both"/>
              <w:rPr>
                <w:rFonts w:ascii="Candara" w:eastAsia="Times New Roman" w:hAnsi="Candara" w:cs="Times New Roman"/>
                <w:sz w:val="18"/>
                <w:szCs w:val="18"/>
                <w:lang w:val="sq-AL"/>
              </w:rPr>
            </w:pPr>
          </w:p>
        </w:tc>
      </w:tr>
      <w:tr w:rsidR="00093E56" w14:paraId="354F335A" w14:textId="77777777" w:rsidTr="00843505">
        <w:trPr>
          <w:trHeight w:val="1995"/>
        </w:trPr>
        <w:tc>
          <w:tcPr>
            <w:tcW w:w="618" w:type="dxa"/>
          </w:tcPr>
          <w:p w14:paraId="543C4BB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832914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36FB9DF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Mungesë e indikatorëve që matin numrin, cilësinë dhe impaktin e kontratave sociale.</w:t>
            </w:r>
          </w:p>
        </w:tc>
        <w:tc>
          <w:tcPr>
            <w:tcW w:w="1468" w:type="dxa"/>
          </w:tcPr>
          <w:p w14:paraId="6DE8ED4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BE33B4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Plani i Veprimit aktualisht përfshin tregues për numrin e OSHC-ve të kontraktuara (Treguesi III.2) dhe vlerën totale të granteve (Treguesi III.3.2). Për të matur cilësinë dhe impaktin e kontratave sociale, do të shtohet një tregues i ri: Përqindja e kontratave për shërbime publike që arrijnë rezultatet e parashikuara sipas raporteve të monitorimit (vlera bazë: kërkohet; synimi 2028: 80%). Metodologjia e matjes do të përcaktohet në rregulloren e re për kontraktimin e OSHC-ve.</w:t>
            </w:r>
          </w:p>
          <w:p w14:paraId="7766942B" w14:textId="77777777" w:rsidR="00093E56" w:rsidRDefault="00093E56">
            <w:pPr>
              <w:spacing w:line="276" w:lineRule="auto"/>
              <w:jc w:val="both"/>
              <w:rPr>
                <w:rFonts w:ascii="Candara" w:eastAsia="Times New Roman" w:hAnsi="Candara" w:cs="Times New Roman"/>
                <w:sz w:val="18"/>
                <w:szCs w:val="18"/>
                <w:lang w:val="sq-AL"/>
              </w:rPr>
            </w:pPr>
          </w:p>
        </w:tc>
      </w:tr>
      <w:tr w:rsidR="00093E56" w14:paraId="0A097A92" w14:textId="77777777" w:rsidTr="00843505">
        <w:trPr>
          <w:trHeight w:val="800"/>
        </w:trPr>
        <w:tc>
          <w:tcPr>
            <w:tcW w:w="618" w:type="dxa"/>
          </w:tcPr>
          <w:p w14:paraId="3A71D5B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C21AFE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3659DC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Trajtimi i OSHC-ve si partnerë për ofrim shërbimesh, analiza dhe zhvillim politikash.</w:t>
            </w:r>
          </w:p>
        </w:tc>
        <w:tc>
          <w:tcPr>
            <w:tcW w:w="1468" w:type="dxa"/>
          </w:tcPr>
          <w:p w14:paraId="1C64023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43B4CC2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tashmë i trajton OSHC-të si partnerë në shumësinë e roleve që ato luajnë në një shoqëri demokratike: pjesëmarrja në politikëbërje dhe analiza e politikave (OS1), qëndrueshmëria financiare dhe institucionale (OS2), ofrimi i shërbimeve publike (OS3), dhe mobilizimi i angazhimit qytetar dhe vullnetarizmit (OS4).</w:t>
            </w:r>
          </w:p>
        </w:tc>
      </w:tr>
      <w:tr w:rsidR="00093E56" w14:paraId="6AD5ED83" w14:textId="77777777" w:rsidTr="00843505">
        <w:trPr>
          <w:trHeight w:val="1710"/>
        </w:trPr>
        <w:tc>
          <w:tcPr>
            <w:tcW w:w="618" w:type="dxa"/>
          </w:tcPr>
          <w:p w14:paraId="28AFEA9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FC660A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876549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Fokus i veçantë në shërbimet sociale dhe grupet e cenueshme.</w:t>
            </w:r>
          </w:p>
        </w:tc>
        <w:tc>
          <w:tcPr>
            <w:tcW w:w="1468" w:type="dxa"/>
          </w:tcPr>
          <w:p w14:paraId="6E98C73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761EEA5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Strategjik 3 fokusohet në ofrimin e shërbimeve publike nga OSHC-të në fusha që prekin drejtpërdrejt grupet e cenueshme, duke përfshirë mbrojtjen sociale, arsimin, shëndetësinë dhe kulturën. Siç u adresua në komentin O2.4, do të hartohet edhe një analizë e boshllëqeve në ofrimin e shërbimeve publike për të identifikuar shërbimet që mungojnë për grupet e cenueshme.</w:t>
            </w:r>
          </w:p>
          <w:p w14:paraId="1B10B3FF" w14:textId="77777777" w:rsidR="00093E56" w:rsidRDefault="00093E56">
            <w:pPr>
              <w:spacing w:line="276" w:lineRule="auto"/>
              <w:jc w:val="both"/>
              <w:rPr>
                <w:rFonts w:ascii="Candara" w:eastAsia="Times New Roman" w:hAnsi="Candara" w:cs="Times New Roman"/>
                <w:sz w:val="18"/>
                <w:szCs w:val="18"/>
                <w:lang w:val="sq-AL"/>
              </w:rPr>
            </w:pPr>
          </w:p>
        </w:tc>
      </w:tr>
      <w:tr w:rsidR="00093E56" w14:paraId="5ADF616F" w14:textId="77777777" w:rsidTr="00843505">
        <w:trPr>
          <w:trHeight w:val="1140"/>
        </w:trPr>
        <w:tc>
          <w:tcPr>
            <w:tcW w:w="618" w:type="dxa"/>
          </w:tcPr>
          <w:p w14:paraId="2C05BD6B" w14:textId="77777777" w:rsidR="00093E56" w:rsidRDefault="00093E56">
            <w:pPr>
              <w:pStyle w:val="ListParagraph"/>
              <w:numPr>
                <w:ilvl w:val="0"/>
                <w:numId w:val="1"/>
              </w:numPr>
              <w:spacing w:line="276" w:lineRule="auto"/>
              <w:jc w:val="both"/>
              <w:rPr>
                <w:rFonts w:ascii="Candara" w:eastAsia="Times New Roman" w:hAnsi="Candara" w:cs="Times New Roman"/>
                <w:sz w:val="20"/>
                <w:szCs w:val="20"/>
                <w:lang w:val="sq-AL"/>
              </w:rPr>
            </w:pPr>
          </w:p>
        </w:tc>
        <w:tc>
          <w:tcPr>
            <w:tcW w:w="1158" w:type="dxa"/>
          </w:tcPr>
          <w:p w14:paraId="73406B0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9574F2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Forcimi i këtij objektivi në Planin e Veprimit me buxhet dhe indikatorë të matshëm.</w:t>
            </w:r>
          </w:p>
        </w:tc>
        <w:tc>
          <w:tcPr>
            <w:tcW w:w="1468" w:type="dxa"/>
          </w:tcPr>
          <w:p w14:paraId="7585449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4A54D7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Shih arsyetimet për komentet O2.5 (analiza e kostos), O3.6 (buxheti për kontraktim), dhe O3.7 (treguesit për cilësi dhe impakt). Plani i Veprimit do të plotësohet me analizë më të detajuar të kostos dhe me tregues shtesë për matjen e cilësisë dhe impaktit të kontratave sociale.</w:t>
            </w:r>
          </w:p>
          <w:p w14:paraId="249A9F56" w14:textId="77777777" w:rsidR="00093E56" w:rsidRDefault="00093E56">
            <w:pPr>
              <w:spacing w:line="276" w:lineRule="auto"/>
              <w:jc w:val="both"/>
              <w:rPr>
                <w:rFonts w:ascii="Candara" w:eastAsia="Times New Roman" w:hAnsi="Candara" w:cs="Times New Roman"/>
                <w:sz w:val="18"/>
                <w:szCs w:val="18"/>
                <w:lang w:val="sq-AL"/>
              </w:rPr>
            </w:pPr>
          </w:p>
        </w:tc>
      </w:tr>
      <w:tr w:rsidR="00093E56" w14:paraId="474670F8" w14:textId="77777777" w:rsidTr="00843505">
        <w:trPr>
          <w:trHeight w:val="1995"/>
        </w:trPr>
        <w:tc>
          <w:tcPr>
            <w:tcW w:w="618" w:type="dxa"/>
          </w:tcPr>
          <w:p w14:paraId="46A9CC3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B0B711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00FE011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nuk është i zhvilluar mjaftueshëm dhe mungojnë masa konkrete.</w:t>
            </w:r>
          </w:p>
        </w:tc>
        <w:tc>
          <w:tcPr>
            <w:tcW w:w="1468" w:type="dxa"/>
          </w:tcPr>
          <w:p w14:paraId="2B7C3D0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583CEF9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Plani i Veprimit parasheh masa konkrete për Objektivin Strategjik 4, duke përfshirë: miratimin e Koncept Dokumentit për vullnetarizmin (Veprimi 4.1.1), hartimin e rregullave (Veprimi 4.1.3), krijimin e Mekanizmit Kombëtar të Koordinimit të Vullnetarëve (Veprimi 4.2.2), dhe zhvillimin e platformës online për vullnetarizëm (OSpf 4.3). Megjithatë, siç u adresua në komentin O2.5, buxheti për të gjitha objektivat do të detajohet më tej në kapitullin 1.7 të Strategjisë.</w:t>
            </w:r>
          </w:p>
          <w:p w14:paraId="34C01084" w14:textId="77777777" w:rsidR="00093E56" w:rsidRDefault="00093E56">
            <w:pPr>
              <w:spacing w:line="276" w:lineRule="auto"/>
              <w:jc w:val="both"/>
              <w:rPr>
                <w:rFonts w:ascii="Candara" w:eastAsia="Times New Roman" w:hAnsi="Candara" w:cs="Times New Roman"/>
                <w:sz w:val="18"/>
                <w:szCs w:val="18"/>
                <w:lang w:val="sq-AL"/>
              </w:rPr>
            </w:pPr>
          </w:p>
        </w:tc>
      </w:tr>
      <w:tr w:rsidR="00093E56" w14:paraId="6B9DBD89" w14:textId="77777777" w:rsidTr="00843505">
        <w:trPr>
          <w:trHeight w:val="800"/>
        </w:trPr>
        <w:tc>
          <w:tcPr>
            <w:tcW w:w="618" w:type="dxa"/>
          </w:tcPr>
          <w:p w14:paraId="7468ABD6"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E95377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6D7D9A7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Nuk është e qartë baza ligjore dhe institucionale për promovimin e vullnetarizmit.</w:t>
            </w:r>
          </w:p>
        </w:tc>
        <w:tc>
          <w:tcPr>
            <w:tcW w:w="1468" w:type="dxa"/>
          </w:tcPr>
          <w:p w14:paraId="069C613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384935B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është e adresuar në Objektivin Specifik 4.1 dhe 4.2. Baza ligjore do të krijohet përmes Koncept Dokumentit për zhvillimin e vullnetarizmit (Veprimi 4.1.1) dhe hartimit të rregullave përkatëse (Veprimi 4.1.3). Baza institucionale do të krijohet përmes themelimit të Mekanizmit Kombëtar të Koordinimit të Vullnetarëve (Veprimet 4.2.1 dhe 4.2.2), me përgjegjësi të qarta për ZKM-në dhe ministritë e linjës.</w:t>
            </w:r>
          </w:p>
        </w:tc>
      </w:tr>
      <w:tr w:rsidR="00093E56" w14:paraId="7F7A3002" w14:textId="77777777" w:rsidTr="00843505">
        <w:trPr>
          <w:trHeight w:val="1710"/>
        </w:trPr>
        <w:tc>
          <w:tcPr>
            <w:tcW w:w="618" w:type="dxa"/>
          </w:tcPr>
          <w:p w14:paraId="1D7D22B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4AA6AC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8CF1E0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Qartësimi i konceptit dhe rolit të vullnetarizmit në zhvillimin social dhe ekonomik.</w:t>
            </w:r>
          </w:p>
        </w:tc>
        <w:tc>
          <w:tcPr>
            <w:tcW w:w="1468" w:type="dxa"/>
          </w:tcPr>
          <w:p w14:paraId="3CBF9BD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DC9F12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Kjo çështje do të adresohet përmes Koncept Dokumentit për zhvillimin e vullnetarizmit (Veprimi 4.1.1), i cili do të përcaktojë konceptin, rolin dhe rëndësinë e vullnetarizmit në zhvillimin social dhe ekonomik të Kosovës. Strategjia aktuale përcakton kornizën e përgjithshme, ndërsa detajet konceptuale do të zhvillohen në dokumentet e politikave që do të hartohen gjatë zbatimit.</w:t>
            </w:r>
          </w:p>
          <w:p w14:paraId="6735368A" w14:textId="77777777" w:rsidR="00093E56" w:rsidRDefault="00093E56">
            <w:pPr>
              <w:spacing w:line="276" w:lineRule="auto"/>
              <w:jc w:val="both"/>
              <w:rPr>
                <w:rFonts w:ascii="Candara" w:eastAsia="Times New Roman" w:hAnsi="Candara" w:cs="Times New Roman"/>
                <w:sz w:val="18"/>
                <w:szCs w:val="18"/>
                <w:lang w:val="sq-AL"/>
              </w:rPr>
            </w:pPr>
          </w:p>
        </w:tc>
      </w:tr>
      <w:tr w:rsidR="00093E56" w14:paraId="16A80F6C" w14:textId="77777777" w:rsidTr="00843505">
        <w:trPr>
          <w:trHeight w:val="2280"/>
        </w:trPr>
        <w:tc>
          <w:tcPr>
            <w:tcW w:w="618" w:type="dxa"/>
          </w:tcPr>
          <w:p w14:paraId="0D90C1C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5679FB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73677CA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Zhvillimi i mekanizmave mbështetës dhe stimujve për vullnetarizëm të qëndrueshëm duke përfshirë grupmoshat përtej moshës 24 vjeçare.</w:t>
            </w:r>
          </w:p>
        </w:tc>
        <w:tc>
          <w:tcPr>
            <w:tcW w:w="1468" w:type="dxa"/>
          </w:tcPr>
          <w:p w14:paraId="6425396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0318FE1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pranohet pjesërisht si shqetësim i vlefshëm. Aktualisht, vullnetarizmi rregullohet në kuadër të legjislacionit për rininë, i cili kufizon njohjen e punës vullnetare për personat deri në moshën 24 vjeçare. Kjo çështje bie nën kompetencën e Ministrisë së Kulturës, Rinisë dhe Sportit dhe kërkon ndryshime legjislative që shkojnë përtej fushëveprimit të kësaj Strategjie. Megjithatë, shqetësimi do të përcillet tek institucionet kompetente si rekomandim për t'u adresuar gjatë hartimit të Koncept Dokumentit për zhvillimin e vullnetarizmit.</w:t>
            </w:r>
          </w:p>
          <w:p w14:paraId="70D78221" w14:textId="77777777" w:rsidR="00093E56" w:rsidRDefault="00093E56">
            <w:pPr>
              <w:spacing w:line="276" w:lineRule="auto"/>
              <w:jc w:val="both"/>
              <w:rPr>
                <w:rFonts w:ascii="Candara" w:eastAsia="Times New Roman" w:hAnsi="Candara" w:cs="Times New Roman"/>
                <w:sz w:val="18"/>
                <w:szCs w:val="18"/>
                <w:lang w:val="sq-AL"/>
              </w:rPr>
            </w:pPr>
          </w:p>
        </w:tc>
      </w:tr>
      <w:tr w:rsidR="00093E56" w14:paraId="3B1E2A00" w14:textId="77777777" w:rsidTr="00843505">
        <w:trPr>
          <w:trHeight w:val="1140"/>
        </w:trPr>
        <w:tc>
          <w:tcPr>
            <w:tcW w:w="618" w:type="dxa"/>
          </w:tcPr>
          <w:p w14:paraId="48646E2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FE20EA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Kontribut i përbashkët i 12 OJQ-ve (4.2.2026)</w:t>
            </w:r>
          </w:p>
        </w:tc>
        <w:tc>
          <w:tcPr>
            <w:tcW w:w="2239" w:type="dxa"/>
          </w:tcPr>
          <w:p w14:paraId="2E580F2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Ndërlidhja e këtij objektivi me politika sektoriale ekzistuese.</w:t>
            </w:r>
          </w:p>
        </w:tc>
        <w:tc>
          <w:tcPr>
            <w:tcW w:w="1468" w:type="dxa"/>
          </w:tcPr>
          <w:p w14:paraId="03493A4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2B4CC49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Koncept Dokumenti për zhvillimin e vullnetarizmit (Veprimi 4.1.1) do të hartohet në koordinim me ministritë e linjës dhe do të sigurojë ndërlidhjen me politikat sektoriale ekzistuese, duke përfshirë politikat për rininë, arsimin, punësimin, mbrojtjen sociale dhe zhvillimin lokal.</w:t>
            </w:r>
          </w:p>
        </w:tc>
      </w:tr>
      <w:tr w:rsidR="00093E56" w14:paraId="5451A25C" w14:textId="77777777" w:rsidTr="00843505">
        <w:trPr>
          <w:trHeight w:val="2150"/>
        </w:trPr>
        <w:tc>
          <w:tcPr>
            <w:tcW w:w="618" w:type="dxa"/>
          </w:tcPr>
          <w:p w14:paraId="0F3E106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B070C9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3879DA6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Seksioni 1.5 Objektivat – Objektivat strategjikë: seksioni fillon me deklaratën e mëposhtme "Katër objektivat strategjikë nga Strategjia 2019-2023, gjatë procesit të vlerësimit dhe konsultimit, janë prioritizuar si ende relevantë dhe të rëndësishëm për zhvillimin e shoqërisë civile dhe bashkëpunimin e qeverisë me sektorin civil. Megjithatë,  janë propozuar ndryshime të pakta në narrativë dhe fokus në disa prej tyre.” (f. 24)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Do të ishte e dobishme të përfshiheshin si aneks ose dokument mbështetës ndryshimet  e narrativës së bërë krahasuar me </w:t>
            </w:r>
            <w:r>
              <w:rPr>
                <w:rFonts w:ascii="Candara" w:eastAsia="Times New Roman" w:hAnsi="Candara" w:cs="Times New Roman"/>
                <w:sz w:val="18"/>
                <w:szCs w:val="18"/>
                <w:lang w:val="sq-AL"/>
              </w:rPr>
              <w:lastRenderedPageBreak/>
              <w:t>strategjinë e mëparshme. Mbi të gjitha, do të ishte e  rëndësishme të shpjegohej se çfarë duhet të ndryshohet dhe/ose cilat boshllëqe duhet të adresohen në mënyrë që kjo strategji e re të bëhet efektive.</w:t>
            </w:r>
          </w:p>
        </w:tc>
        <w:tc>
          <w:tcPr>
            <w:tcW w:w="1468" w:type="dxa"/>
          </w:tcPr>
          <w:p w14:paraId="35BCCFC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w:t>
            </w:r>
          </w:p>
        </w:tc>
        <w:tc>
          <w:tcPr>
            <w:tcW w:w="4957" w:type="dxa"/>
          </w:tcPr>
          <w:p w14:paraId="277BD2C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(1) Largohet fjalia “Megjithatë, janë propozuar ndryshime të pakta në narrativë dhe fokus në disa prej tyre”, meqenëse objektivat strategjikë nga Strategjia 2019-2023 janë të njëjtë.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(2) Ndryshimet dhe boshllëqet që duhet të adresohen janë përfshirë brenda secilit objektiv specifik. Megjithatë, një analizë e boshllëqeve do të hartohet pët ofrimin e shërbimeve publike për të identifikuar shërbimet që mungojnë për grupet e cenueshme.</w:t>
            </w:r>
          </w:p>
        </w:tc>
      </w:tr>
      <w:tr w:rsidR="00093E56" w14:paraId="72DA84E1" w14:textId="77777777" w:rsidTr="00843505">
        <w:trPr>
          <w:trHeight w:val="2780"/>
        </w:trPr>
        <w:tc>
          <w:tcPr>
            <w:tcW w:w="618" w:type="dxa"/>
          </w:tcPr>
          <w:p w14:paraId="5ACE989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2C175C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12D1579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Seksioni 1.5 Objektivat - Objektivi 1: Krijimi i një Mjedisi të Favorshëm për Pjesëmarrjen e Publikut në Hartimin e Politikave është fusha për të cilën "është bërë përparimi më i madh në zbatimin e Strategjisë së mëparshme [për këtë çështje]" (f. 25). Do të ishte e rëndësishme të përfshihej edhe për objektivat e tjerë specifikë, në hyrje, një deklaratë e ngjashme për të kuptuar progresin (i paarritur / shumë pjesërisht / pjesërisht i arritur).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Për më tepër, do të ishte e rëndësishme të emërtoheshin institucione të posaçme publike për të cilat një pjesëmarrje e përmirësuar e shoqërisë civile në hartimin e politikave është themelore; ky është rasti në veçanti i politikave për të cilat Shteti delegon ofrimin e shërbimeve te organizatat e shoqërisë civile (për shembull shërbimet sociale, trashëgimia kulturore, ndihma ligjore) ose fushat për të cilat këto organizata luajnë një rol thelbësor (për shembull të rinjtë, vullnetarizmi, mjedisi).</w:t>
            </w:r>
          </w:p>
        </w:tc>
        <w:tc>
          <w:tcPr>
            <w:tcW w:w="1468" w:type="dxa"/>
          </w:tcPr>
          <w:p w14:paraId="04195FE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5C81991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4  vlerëson se progresi ka qenë minimal.</w:t>
            </w:r>
            <w:r>
              <w:rPr>
                <w:rFonts w:ascii="Candara" w:eastAsia="Times New Roman" w:hAnsi="Candara" w:cs="Times New Roman"/>
                <w:sz w:val="18"/>
                <w:szCs w:val="18"/>
                <w:lang w:val="sq-AL"/>
              </w:rPr>
              <w:br/>
              <w:t>Pjesëmarrja e shoqërisë civile në grupe punuese për hartimin e politikave është obligim me Rregulloren e Punës së Qeverisë së Republikës së Kosovës për të gjitha institucionet publike dhe për të gjithë legjislacionin dhe llojet e politikave pa dallim.</w:t>
            </w:r>
          </w:p>
        </w:tc>
      </w:tr>
      <w:tr w:rsidR="00093E56" w14:paraId="4A8A9693" w14:textId="77777777" w:rsidTr="00843505">
        <w:trPr>
          <w:trHeight w:val="2565"/>
        </w:trPr>
        <w:tc>
          <w:tcPr>
            <w:tcW w:w="618" w:type="dxa"/>
          </w:tcPr>
          <w:p w14:paraId="4428AC2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761ADF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295C778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Seksioni 1.5 Objektivat – Objektivi 2: Qëndrueshmëri e përmirësuar, financim  transparent dhe i diversifikuar i OSHC-ve. Ne i rekomandojmë Qeverisë t’i japë  përparësi  përpjekjes së saj në objektivin e 4-të specifik të rritjes së filantropisë (dhënie individuale dhe të korporatave) dhe bashkëpunim të përmirësuar midis OSHC-ve dhe  sektorit të biznesit, i cili ka potencialin më të madh.</w:t>
            </w:r>
          </w:p>
        </w:tc>
        <w:tc>
          <w:tcPr>
            <w:tcW w:w="1468" w:type="dxa"/>
          </w:tcPr>
          <w:p w14:paraId="5B61A3B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4BD1CBF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i jep rëndësi objektivit të 4-të specifik për rritjen e filantropisë dhe Plani i Veprimit parasheh një sërë masash konkrete që synojnë forcimin e filantropisë individuale dhe korporative si burim i qëndrueshëm financimi për OShC-të. Këto përfshijnë përmirësimin e kuadrit ligjor dhe tatimor për dhurimet, hartimin e udhëzuesve praktikë, shqyrtimin e rritjes së incentivave fiskale, si dhe aktivitete të tjera për forcimin e bashkëpunimit ndërmjet OShC-ve dhe sektorit privat, ngritjen e kapaciteteve, si dhe ndërgjegjësimin publik, ku për secilin aktivitet është paraqitur edhe buxheti përkatës në Planin e Veprimit.</w:t>
            </w:r>
          </w:p>
        </w:tc>
      </w:tr>
      <w:tr w:rsidR="00093E56" w14:paraId="4BF3C604" w14:textId="77777777" w:rsidTr="00843505">
        <w:trPr>
          <w:trHeight w:val="2025"/>
        </w:trPr>
        <w:tc>
          <w:tcPr>
            <w:tcW w:w="618" w:type="dxa"/>
          </w:tcPr>
          <w:p w14:paraId="41BF690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72E2E4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71B14A3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Seksioni 1.5 Objektivat – Objektivi 3: Zhvillimi i praktikave dhe procedurave për kontraktimin e OShC-ve për ofrimin e shërbimeve publike. Ne rekomandojmë që qeveria të përfshijë – dhe jo vetëm të konsultohet – me organizatat e shoqërisë civile në hartimin e amendamentimit të “legjislacionit që rregullon standardet dhe procedurat për ofrimin e shërbimeve publike nga OSHC-të”.</w:t>
            </w:r>
          </w:p>
        </w:tc>
        <w:tc>
          <w:tcPr>
            <w:tcW w:w="1468" w:type="dxa"/>
          </w:tcPr>
          <w:p w14:paraId="3979926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07F137B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Shtohet fjalia </w:t>
            </w:r>
            <w:r>
              <w:rPr>
                <w:rFonts w:ascii="Candara" w:eastAsia="Times New Roman" w:hAnsi="Candara" w:cs="Times New Roman"/>
                <w:b/>
                <w:bCs/>
                <w:sz w:val="18"/>
                <w:szCs w:val="18"/>
                <w:lang w:val="sq-AL"/>
              </w:rPr>
              <w:t>“Qeveria do të përfshijë dhe konsultohet me OShC-të në hartimin e amendamentimit të këtij legjislacioni”</w:t>
            </w:r>
            <w:r>
              <w:rPr>
                <w:rFonts w:ascii="Candara" w:eastAsia="Times New Roman" w:hAnsi="Candara" w:cs="Times New Roman"/>
                <w:sz w:val="18"/>
                <w:szCs w:val="18"/>
                <w:lang w:val="sq-AL"/>
              </w:rPr>
              <w:t xml:space="preserve"> menjëherë pas fjalisë “Gjatë periudhës së zbatimit të Strategjisë, legjislacioni që rregullon standardet dhe procedurat për ofrimin e shërbimeve publike nga OShC-të do të ndryshohet dhe pritet të ofrohet një kuadër për procese transparente dhe efikase të kontraktimit” në faqen 36 të Strategjisë.</w:t>
            </w:r>
          </w:p>
        </w:tc>
      </w:tr>
      <w:tr w:rsidR="00093E56" w14:paraId="7BCE5ACB" w14:textId="77777777" w:rsidTr="00843505">
        <w:trPr>
          <w:trHeight w:val="890"/>
        </w:trPr>
        <w:tc>
          <w:tcPr>
            <w:tcW w:w="618" w:type="dxa"/>
          </w:tcPr>
          <w:p w14:paraId="6200736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658EC9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5C7A694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Seksioni 1.5 Objektivat – Objektivi 4: Rritja e vullnetarizmit në programet e përfitimit publik. Ne rekomandojmë që Qeveria të nisë së pari strategjinë kombëtare dhe më pas kuadrin ligjor përkatës për të mbështetur zbatimin e saj. Pa dyshim, këto politika duhet të shërbejnë si model për sa i përket kontributit të organizatave të shoqërisë civile në hartimin e politikave (Objektivi 1).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Për më tepër, do të ishte e rëndësishme që këto procese të udhëhiqen bashkërisht nga Zyra e </w:t>
            </w:r>
            <w:r>
              <w:rPr>
                <w:rFonts w:ascii="Candara" w:eastAsia="Times New Roman" w:hAnsi="Candara" w:cs="Times New Roman"/>
                <w:sz w:val="18"/>
                <w:szCs w:val="18"/>
                <w:lang w:val="sq-AL"/>
              </w:rPr>
              <w:lastRenderedPageBreak/>
              <w:t>Qeverisjes së Mirë dhe Ministria e Rinisë, Sporteve dhe Kulturës.</w:t>
            </w:r>
          </w:p>
        </w:tc>
        <w:tc>
          <w:tcPr>
            <w:tcW w:w="1468" w:type="dxa"/>
          </w:tcPr>
          <w:p w14:paraId="5F268B2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64B4813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Korniza për vullnetarizmin, përkatësisht Koncept Dokumenti për Vullnetarizmin, është në proces të finalizimit, nën nën udhëheqje të përbashkët të Zyrës për Qeverisje të Mirë në Zyrën e Kryeministrit dhe Ministrisë së Kulturës dhe Ministrisë së Sportit dhe Rinisë.</w:t>
            </w:r>
          </w:p>
        </w:tc>
      </w:tr>
      <w:tr w:rsidR="00093E56" w14:paraId="02E6FA58" w14:textId="77777777" w:rsidTr="00843505">
        <w:trPr>
          <w:trHeight w:val="1995"/>
        </w:trPr>
        <w:tc>
          <w:tcPr>
            <w:tcW w:w="618" w:type="dxa"/>
          </w:tcPr>
          <w:p w14:paraId="367E1DF3" w14:textId="77777777" w:rsidR="00093E56" w:rsidRDefault="00093E56">
            <w:pPr>
              <w:pStyle w:val="ListParagraph"/>
              <w:numPr>
                <w:ilvl w:val="0"/>
                <w:numId w:val="1"/>
              </w:numPr>
              <w:spacing w:line="276" w:lineRule="auto"/>
              <w:jc w:val="both"/>
              <w:rPr>
                <w:rFonts w:ascii="Candara" w:eastAsia="Times New Roman" w:hAnsi="Candara" w:cs="Times New Roman"/>
                <w:color w:val="FF0000"/>
                <w:sz w:val="20"/>
                <w:szCs w:val="20"/>
                <w:lang w:val="sq-AL"/>
              </w:rPr>
            </w:pPr>
          </w:p>
        </w:tc>
        <w:tc>
          <w:tcPr>
            <w:tcW w:w="1158" w:type="dxa"/>
          </w:tcPr>
          <w:p w14:paraId="1F4FC50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5246578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Seksioni 1.7 Ndikimi Buxhetor i Zbatimit të Strategjisë. Ne rekomandojmë (a) të përfshihet një paragraf specifik mbi burimet njerëzore që do të kërkohen në Zyrën e Qeverisjes së Mirë për të drejtuar zbatimin e këtij procesi. Sipas mendimit tonë, kërkohet një departament i plotë me 1 Udhëheqës dhe 3 zyrtarë politikash (1 për të udhëhequr OS 1, 1 për OS 2 dhe OS 3 dhe 1 për OS 4).</w:t>
            </w:r>
          </w:p>
        </w:tc>
        <w:tc>
          <w:tcPr>
            <w:tcW w:w="1468" w:type="dxa"/>
          </w:tcPr>
          <w:p w14:paraId="6F99133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5E83D74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parasheh nevojën për forcimin e kapaciteteve të Zyrës për Qeverisje të Mirë, por si dokument kornizë nuk përcakton në mënyrë të detajuar strukturat organizative apo numrin e stafit për institucionet përgjegjëse. Çështjet që lidhen me burimet njerëzore dhe organizimin institucional trajtohen përmes proceseve të brendshme të planifikimit institucional dhe buxhetor, në përputhje me legjislacionin në fuqi, dhe tejkalojnë fushëveprimin e Strategjisë.</w:t>
            </w:r>
          </w:p>
        </w:tc>
      </w:tr>
      <w:tr w:rsidR="00093E56" w14:paraId="1ABC87BB" w14:textId="77777777" w:rsidTr="00843505">
        <w:trPr>
          <w:trHeight w:val="2400"/>
        </w:trPr>
        <w:tc>
          <w:tcPr>
            <w:tcW w:w="618" w:type="dxa"/>
          </w:tcPr>
          <w:p w14:paraId="721EA7E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D1B5F8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3E2B662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 treguesit: (a) shumica e treguesve të rezultateve nuk kanë një nivel bazë (vlerë bazë); një boshllëk i identifikuar tashmë për strategjinë e mëparshme; (b) disa nga treguesit e rezultateve nuk janë SMART2 (OS 1 dhe OS 3).</w:t>
            </w:r>
          </w:p>
        </w:tc>
        <w:tc>
          <w:tcPr>
            <w:tcW w:w="1468" w:type="dxa"/>
          </w:tcPr>
          <w:p w14:paraId="21FB9A6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4C60056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Në disa raste mungojnë vlerat bazë, kryesisht për shkak të mungesës së të dhënave në momentin e hartimit të dokumentit. Vlera të tjera bazë do të shtohen aty ku është e mundur të mbledhen të dhëna shtesë, në veçanti tek objektivat strategjikë 2 dhe 3, ku edhe Plani i Veprimit thekson se kërkohen statistika që do të shërbenin si vlerë bazë. Ndërsa, sa i përket natyrës SMART të treguesve, ata janë hartuar në përputhje me parimet e matshmërisë dhe relevancës.</w:t>
            </w:r>
          </w:p>
        </w:tc>
      </w:tr>
      <w:tr w:rsidR="00093E56" w14:paraId="3584443F" w14:textId="77777777" w:rsidTr="00843505">
        <w:trPr>
          <w:trHeight w:val="1425"/>
        </w:trPr>
        <w:tc>
          <w:tcPr>
            <w:tcW w:w="618" w:type="dxa"/>
          </w:tcPr>
          <w:p w14:paraId="4DAFCAB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C0036F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5F49072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 burimi i financimit: asnjë aktivitet nuk duhet të bashkë financohet nga "buxheti i shtetit dhe donatorët" pasi kjo zvogëlon llogaridhënien. Zyra e Qeverisjes së Mirë duhet të organizojë një takim me komunitetin e donatorëve për të vlerësuar interesin e tyre për të mbështetur. Qeveria duhet të financojë boshllëqet.</w:t>
            </w:r>
          </w:p>
        </w:tc>
        <w:tc>
          <w:tcPr>
            <w:tcW w:w="1468" w:type="dxa"/>
          </w:tcPr>
          <w:p w14:paraId="0FA36AC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0B43724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Zyra për Qeverisje të Mirë (ZQM) do të ndërmarrë të gjitha veprimet e nevojshme për të organizuar një takim me komunitetin e donatorëve, me qëllim vlerësimin e interesit të tyre për mbështetjen e aktiviteteve të parapara në Planin e Veprimit dhe sigurimin e një qasjeje më të qartë në ndarjen e burimeve të financimit.</w:t>
            </w:r>
          </w:p>
        </w:tc>
      </w:tr>
      <w:tr w:rsidR="00093E56" w14:paraId="414205FA" w14:textId="77777777" w:rsidTr="00843505">
        <w:trPr>
          <w:trHeight w:val="890"/>
        </w:trPr>
        <w:tc>
          <w:tcPr>
            <w:tcW w:w="618" w:type="dxa"/>
          </w:tcPr>
          <w:p w14:paraId="2E3AE3A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43D45E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5DB08C6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Rekomandime të tjera</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Seksionet Analiza e problemeve sipas fushave përkatëse, Gjetjet nga Raporti për zbatimin e strategjisë (2019-2023): do të ishte e dobishme të përfshiheshin të dhëna </w:t>
            </w:r>
            <w:r>
              <w:rPr>
                <w:rFonts w:ascii="Candara" w:eastAsia="Times New Roman" w:hAnsi="Candara" w:cs="Times New Roman"/>
                <w:sz w:val="18"/>
                <w:szCs w:val="18"/>
                <w:lang w:val="sq-AL"/>
              </w:rPr>
              <w:lastRenderedPageBreak/>
              <w:t xml:space="preserve">shtesë për të kuptuar më mirë shkaqet rrënjësore (shih shtojcën). </w:t>
            </w:r>
          </w:p>
        </w:tc>
        <w:tc>
          <w:tcPr>
            <w:tcW w:w="1468" w:type="dxa"/>
          </w:tcPr>
          <w:p w14:paraId="59066C08"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w:t>
            </w:r>
          </w:p>
        </w:tc>
        <w:tc>
          <w:tcPr>
            <w:tcW w:w="4957" w:type="dxa"/>
          </w:tcPr>
          <w:p w14:paraId="666B665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përfshin të dhëna relevante nga raportet ekzistuese dhe analizat sektoriale. Megjithatë, do të shqyrtohet mundësia për të plotësuar më tej këto seksione me të dhëna shtesë, aty ku është e mundur të mbledhen, mbi shkaqet rrënjësore të problemeve.</w:t>
            </w:r>
          </w:p>
        </w:tc>
      </w:tr>
      <w:tr w:rsidR="00093E56" w14:paraId="23DFFDB4" w14:textId="77777777" w:rsidTr="00843505">
        <w:trPr>
          <w:trHeight w:val="855"/>
        </w:trPr>
        <w:tc>
          <w:tcPr>
            <w:tcW w:w="618" w:type="dxa"/>
          </w:tcPr>
          <w:p w14:paraId="1CEC10A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7479F6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01BBDA6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Seksioni Gjetjet nga Raporti mbi zbatimin e strategjisë (2019-2023): ky seksion do të vendosej më mirë përpara Seksionit Analiza e Problemit. </w:t>
            </w:r>
          </w:p>
        </w:tc>
        <w:tc>
          <w:tcPr>
            <w:tcW w:w="1468" w:type="dxa"/>
          </w:tcPr>
          <w:p w14:paraId="1EB5CDE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3FA7CFE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Seksioni </w:t>
            </w:r>
            <w:r>
              <w:rPr>
                <w:rFonts w:ascii="Candara" w:eastAsia="Times New Roman" w:hAnsi="Candara" w:cs="Times New Roman"/>
                <w:b/>
                <w:bCs/>
                <w:i/>
                <w:iCs/>
                <w:sz w:val="18"/>
                <w:szCs w:val="18"/>
                <w:lang w:val="sq-AL"/>
              </w:rPr>
              <w:t>“Gjetjet nga Raporti mbi zbatimin e strategjisë (2019-2023)”</w:t>
            </w:r>
            <w:r>
              <w:rPr>
                <w:rFonts w:ascii="Candara" w:eastAsia="Times New Roman" w:hAnsi="Candara" w:cs="Times New Roman"/>
                <w:sz w:val="18"/>
                <w:szCs w:val="18"/>
                <w:lang w:val="sq-AL"/>
              </w:rPr>
              <w:t xml:space="preserve"> vendoset përpara seksionit </w:t>
            </w:r>
            <w:r>
              <w:rPr>
                <w:rFonts w:ascii="Candara" w:eastAsia="Times New Roman" w:hAnsi="Candara" w:cs="Times New Roman"/>
                <w:b/>
                <w:bCs/>
                <w:i/>
                <w:iCs/>
                <w:sz w:val="18"/>
                <w:szCs w:val="18"/>
                <w:lang w:val="sq-AL"/>
              </w:rPr>
              <w:t>“Analiza e Problemit”</w:t>
            </w:r>
            <w:r>
              <w:rPr>
                <w:rFonts w:ascii="Candara" w:eastAsia="Times New Roman" w:hAnsi="Candara" w:cs="Times New Roman"/>
                <w:sz w:val="18"/>
                <w:szCs w:val="18"/>
                <w:lang w:val="sq-AL"/>
              </w:rPr>
              <w:t>.</w:t>
            </w:r>
          </w:p>
        </w:tc>
      </w:tr>
      <w:tr w:rsidR="00093E56" w14:paraId="70ED403F" w14:textId="77777777" w:rsidTr="00843505">
        <w:trPr>
          <w:trHeight w:val="1520"/>
        </w:trPr>
        <w:tc>
          <w:tcPr>
            <w:tcW w:w="618" w:type="dxa"/>
          </w:tcPr>
          <w:p w14:paraId="6314B6F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CBCBE2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5FD7F1D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Seksioni SWOT: është e pamundur të vlerësohet se si 4 objektivat strategjikë ndërtohen mbi pikat e forta dhe mundësitë e identifikuara dhe si i adresojnë ato dobësitë dhe kërcënimet e identifikuara. Një grafik në narrativën kryesore ose në shtojcë do të ishte i dobishëm.</w:t>
            </w:r>
          </w:p>
        </w:tc>
        <w:tc>
          <w:tcPr>
            <w:tcW w:w="1468" w:type="dxa"/>
          </w:tcPr>
          <w:p w14:paraId="7A66128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38E2D40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përmban një lidhje ndërmjet analizës SWOT dhe objektivave strategjikë, e cila megjithëse nuk është paraqitur në formë grafike, reflektohet në mënyrë narrative në seksionet përkatëse të analizës së problemeve dhe formulimit të objektivave. Paraqitja grafike e kësaj lidhje shtesë narrativës është e pamundur në këtë fazë të Strategjisë. Megjithatë, mundësia e përfshirjes së një paraqitjeje grafike do të merret parasysh në proceset e ardhshme të zhvillimit të dokumenteve shoqëruese, siç janë manualet për konsultimin publik, proceset e dhënies së pronës publike për OSHC-të, dhurimet individuale dhe korporative, si dhe kontraktimi i OShC-ve.</w:t>
            </w:r>
          </w:p>
        </w:tc>
      </w:tr>
      <w:tr w:rsidR="00093E56" w14:paraId="20DFBF53" w14:textId="77777777" w:rsidTr="00843505">
        <w:trPr>
          <w:trHeight w:val="3705"/>
        </w:trPr>
        <w:tc>
          <w:tcPr>
            <w:tcW w:w="618" w:type="dxa"/>
          </w:tcPr>
          <w:p w14:paraId="58C6AF1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936F48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2C4F67E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Do të ishte e dobishme të përfshihet një tabelë që paraqet një ndarje sipas ministrive / institucioneve publike. It would be useful to include a table providing a breakdown by ministries / public institutions.perkthje</w:t>
            </w:r>
          </w:p>
        </w:tc>
        <w:tc>
          <w:tcPr>
            <w:tcW w:w="1468" w:type="dxa"/>
          </w:tcPr>
          <w:p w14:paraId="7D51339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2F346C8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Një paraqitje e tillë e të dhënave sipas ministrive/institucioneve publike tashmë është e integruar në kuadër të planeve vjetore të dokumenteve të politikave publike, strategjive, koncepte-dokumenteve dhe planeve legjislative, të cilat koordinohen nga zyrat përgjegjëse në Zyrën e Kryeministrit (ZKM). Megjithatë, një ndarje e tillë nuk do të kontribuonte domosdoshmërisht në forcimin e analizës, pasi numri i politikave të planifikuara për hartim ndryshon ndjeshëm ndërmjet institucioneve. Disa ministri kanë të planifikuara dhjetëra politika për t’u hartuar gjatë një viti dhe, rrjedhimisht, publikojnë një numër më të madh dokumentesh për konsultim publik, ndërsa institucione të tjera mund të kenë vetëm një ose disa dokumente të tilla. Për këtë arsye, një paraqitje thjesht numerike sipas institucioneve mund të mos ofrojë një pasqyrë të balancuar dhe të krahasueshme për qëllime analitike.</w:t>
            </w:r>
          </w:p>
          <w:p w14:paraId="0933BCD4" w14:textId="77777777" w:rsidR="00093E56" w:rsidRDefault="00093E56">
            <w:pPr>
              <w:spacing w:line="276" w:lineRule="auto"/>
              <w:jc w:val="both"/>
              <w:rPr>
                <w:rFonts w:ascii="Candara" w:eastAsia="Times New Roman" w:hAnsi="Candara" w:cs="Times New Roman"/>
                <w:sz w:val="18"/>
                <w:szCs w:val="18"/>
                <w:lang w:val="sq-AL"/>
              </w:rPr>
            </w:pPr>
          </w:p>
        </w:tc>
      </w:tr>
      <w:tr w:rsidR="00093E56" w14:paraId="0231CDE6" w14:textId="77777777" w:rsidTr="00843505">
        <w:trPr>
          <w:trHeight w:val="1790"/>
        </w:trPr>
        <w:tc>
          <w:tcPr>
            <w:tcW w:w="618" w:type="dxa"/>
          </w:tcPr>
          <w:p w14:paraId="42BB905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09E4F5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4456E412" w14:textId="706FBB44"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It would be useful to add a table providing additional details on the type of funding, for each ministry providing funding; and for 2021, 2023 and 2024./</w:t>
            </w:r>
            <w:r>
              <w:t xml:space="preserve"> </w:t>
            </w:r>
            <w:r w:rsidRPr="00843505">
              <w:rPr>
                <w:rFonts w:ascii="Candara" w:eastAsia="Times New Roman" w:hAnsi="Candara" w:cs="Times New Roman"/>
                <w:sz w:val="18"/>
                <w:szCs w:val="18"/>
                <w:lang w:val="sq-AL"/>
              </w:rPr>
              <w:t>Do të ishte e dobishme të shtohej një tabelë që ofron detaje shtesë mbi llojin e financimit, për secilën ministri që ofron financim; dhe për vitet 2021, 2023 dhe 2024.</w:t>
            </w:r>
          </w:p>
        </w:tc>
        <w:tc>
          <w:tcPr>
            <w:tcW w:w="1468" w:type="dxa"/>
          </w:tcPr>
          <w:p w14:paraId="54785F1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28E55D1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Paraqitja tabelare e llojeve të mbështetjes publike financiare për secilën ministri veç e veç nuk është e realizueshme në këtë fazë të hartimit të Strategjisë. Megjithatë, llojet kryesore të mbështetjes publike financiare do të shtohen në narrativë për të ofruar një pasqyrë më të qartë.</w:t>
            </w:r>
          </w:p>
        </w:tc>
      </w:tr>
      <w:tr w:rsidR="00093E56" w14:paraId="36232544" w14:textId="77777777" w:rsidTr="00843505">
        <w:trPr>
          <w:trHeight w:val="890"/>
        </w:trPr>
        <w:tc>
          <w:tcPr>
            <w:tcW w:w="618" w:type="dxa"/>
          </w:tcPr>
          <w:p w14:paraId="4BB4920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953B79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4BB81066" w14:textId="09701F16"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It would be useful to include data from the tax administration showing the "tax relief" for the past 3 years, for both individuals and corporations./</w:t>
            </w:r>
          </w:p>
        </w:tc>
        <w:tc>
          <w:tcPr>
            <w:tcW w:w="1468" w:type="dxa"/>
          </w:tcPr>
          <w:p w14:paraId="6F59F76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6974851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shtohen të dhëna nga ATK-ja që pasqyrojnë “lehtësirat tatimore” për tre vitet e fundit, si për individët ashtu edhe për korporatat, tek seksioni "Filantropia - dhënie individuale dhe korporative" në faqen 19 të Strategjisë, nëse mbledhja e tyre nga ATK-ja është e mundur.</w:t>
            </w:r>
          </w:p>
        </w:tc>
      </w:tr>
      <w:tr w:rsidR="00093E56" w14:paraId="15695483" w14:textId="77777777" w:rsidTr="00843505">
        <w:trPr>
          <w:trHeight w:val="1425"/>
        </w:trPr>
        <w:tc>
          <w:tcPr>
            <w:tcW w:w="618" w:type="dxa"/>
          </w:tcPr>
          <w:p w14:paraId="7D596DF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ADD0C9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3D384DE0" w14:textId="29A80E3E"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It would be useful to include a breakdown of service contracts launched by ministries the past 3 years.</w:t>
            </w:r>
            <w:r>
              <w:t xml:space="preserve"> </w:t>
            </w:r>
            <w:r w:rsidRPr="00843505">
              <w:rPr>
                <w:rFonts w:ascii="Candara" w:eastAsia="Times New Roman" w:hAnsi="Candara" w:cs="Times New Roman"/>
                <w:sz w:val="18"/>
                <w:szCs w:val="18"/>
                <w:lang w:val="sq-AL"/>
              </w:rPr>
              <w:t>Do të ishte e dobishme të përfshiheshin të dhëna nga administrata tatimore që tregojnë "lehtësimin tatimor" për 3 vitet e fundit, si për individët ashtu edhe për korporatat.</w:t>
            </w:r>
          </w:p>
        </w:tc>
        <w:tc>
          <w:tcPr>
            <w:tcW w:w="1468" w:type="dxa"/>
          </w:tcPr>
          <w:p w14:paraId="3410689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74881C2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Një paraqitje e tillë sipas ministrive nuk do të kontribuonte domosdoshmërisht në forcimin e analizës, apo të jetë domethënëse për interpretim krahasues. Megjithatë, llojet kryesore të kontratave për shërbime për tre vitet e fundit do të shtohen në mënyrë të përgjithshme në narrativë për të ofruar një pasqyrë më të qartë.</w:t>
            </w:r>
          </w:p>
          <w:p w14:paraId="24ACD4B8" w14:textId="77777777" w:rsidR="00093E56" w:rsidRDefault="00093E56">
            <w:pPr>
              <w:spacing w:line="276" w:lineRule="auto"/>
              <w:jc w:val="both"/>
              <w:rPr>
                <w:rFonts w:ascii="Candara" w:eastAsia="Times New Roman" w:hAnsi="Candara" w:cs="Times New Roman"/>
                <w:sz w:val="18"/>
                <w:szCs w:val="18"/>
                <w:lang w:val="sq-AL"/>
              </w:rPr>
            </w:pPr>
          </w:p>
        </w:tc>
      </w:tr>
      <w:tr w:rsidR="00093E56" w14:paraId="271DFF43" w14:textId="77777777" w:rsidTr="00843505">
        <w:trPr>
          <w:trHeight w:val="1815"/>
        </w:trPr>
        <w:tc>
          <w:tcPr>
            <w:tcW w:w="618" w:type="dxa"/>
          </w:tcPr>
          <w:p w14:paraId="04DBEBE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3F4B26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European Union Office in Kosovo</w:t>
            </w:r>
          </w:p>
        </w:tc>
        <w:tc>
          <w:tcPr>
            <w:tcW w:w="2239" w:type="dxa"/>
          </w:tcPr>
          <w:p w14:paraId="5D6C5AC7" w14:textId="3AC0774D"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It would be useful to add a table with all the indicators./</w:t>
            </w:r>
            <w:r>
              <w:t xml:space="preserve"> </w:t>
            </w:r>
            <w:r w:rsidRPr="00843505">
              <w:rPr>
                <w:rFonts w:ascii="Candara" w:eastAsia="Times New Roman" w:hAnsi="Candara" w:cs="Times New Roman"/>
                <w:sz w:val="18"/>
                <w:szCs w:val="18"/>
                <w:lang w:val="sq-AL"/>
              </w:rPr>
              <w:t>Do të ishte e dobishme të shtohej një tabelë me të gjithë treguesit./</w:t>
            </w:r>
          </w:p>
        </w:tc>
        <w:tc>
          <w:tcPr>
            <w:tcW w:w="1468" w:type="dxa"/>
          </w:tcPr>
          <w:p w14:paraId="20E363D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4E79863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që të shtohet një “Shtojcë”, e cila do të përfshijë të gjithë treguesit dhe nivelin e realizimit të tyre, bazuar në Raportin për Zbatimin e Strategjisë për Bashkëpunim me Shoqërinë Civile (2019–2023).</w:t>
            </w:r>
          </w:p>
        </w:tc>
      </w:tr>
      <w:tr w:rsidR="00093E56" w14:paraId="1FD6CFD2" w14:textId="77777777" w:rsidTr="00843505">
        <w:trPr>
          <w:trHeight w:val="2960"/>
        </w:trPr>
        <w:tc>
          <w:tcPr>
            <w:tcW w:w="618" w:type="dxa"/>
          </w:tcPr>
          <w:p w14:paraId="44D671A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1D3C67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GLPS</w:t>
            </w:r>
          </w:p>
        </w:tc>
        <w:tc>
          <w:tcPr>
            <w:tcW w:w="2239" w:type="dxa"/>
          </w:tcPr>
          <w:p w14:paraId="6472EF5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1. Afati për dorëzimin e komenteve për dokumentet strategjike dhe aktet normative</w:t>
            </w:r>
            <w:r>
              <w:rPr>
                <w:rFonts w:ascii="Candara" w:eastAsia="Times New Roman" w:hAnsi="Candara" w:cs="Times New Roman"/>
                <w:b/>
                <w:bCs/>
                <w:sz w:val="18"/>
                <w:szCs w:val="18"/>
                <w:lang w:val="sq-AL"/>
              </w:rPr>
              <w:br/>
            </w:r>
            <w:r>
              <w:rPr>
                <w:rFonts w:ascii="Candara" w:eastAsia="Times New Roman" w:hAnsi="Candara" w:cs="Times New Roman"/>
                <w:sz w:val="18"/>
                <w:szCs w:val="18"/>
                <w:lang w:val="sq-AL"/>
              </w:rPr>
              <w:br/>
              <w:t xml:space="preserve">GLPS vlerëson se, përveç përfshirjes së shoqërisë civile në faza fillestare të hartimit të politikave, afatet prej 15 deri 30 ditë për pranimin e komenteve nga publiku dhe shoqëria civile për dokumentet strategjike dhe aktet normative në disa raste është i pamjaftueshëm, për faktin se dokumentet mund të jenë voluminoze ose mund të ketë më shumë se dy dokumente që janë në procedurë të konsultimeve njëkohësisht. Prandaj, sugjerojmë që Draft Strategjia të parasheh zgjatjen e afatit të konsultimeve publike në rrethanat e lartcekura. Kjo </w:t>
            </w:r>
            <w:r>
              <w:rPr>
                <w:rFonts w:ascii="Candara" w:eastAsia="Times New Roman" w:hAnsi="Candara" w:cs="Times New Roman"/>
                <w:sz w:val="18"/>
                <w:szCs w:val="18"/>
                <w:lang w:val="sq-AL"/>
              </w:rPr>
              <w:lastRenderedPageBreak/>
              <w:t>duhet të kihet parasysh sidomos edhe për faktin se organizatave të shoqërisë civile, prej ekspertizës në fushat që ato mbulojnë, u duhet kohë dhe koordinim i brendshëm për të dhënë inputet përkitazi me dokumentet që i nënshtrohen konsultimit publik.</w:t>
            </w:r>
          </w:p>
          <w:p w14:paraId="2855E575" w14:textId="77777777" w:rsidR="00093E56" w:rsidRDefault="00093E56">
            <w:pPr>
              <w:spacing w:line="276" w:lineRule="auto"/>
              <w:jc w:val="both"/>
              <w:rPr>
                <w:rFonts w:ascii="Candara" w:eastAsia="Times New Roman" w:hAnsi="Candara" w:cs="Times New Roman"/>
                <w:sz w:val="18"/>
                <w:szCs w:val="18"/>
                <w:lang w:val="sq-AL"/>
              </w:rPr>
            </w:pPr>
          </w:p>
        </w:tc>
        <w:tc>
          <w:tcPr>
            <w:tcW w:w="1468" w:type="dxa"/>
          </w:tcPr>
          <w:p w14:paraId="02507A1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6468B43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Afatet për konsultime publike janë të përcaktuara me Rregulloren e Punës së Qeverisë së Republikës së Kosovës. Strategjia vëren se reduktimi i afatit maksimal kohor të konsultimeve nga 60 në 30 ditë mund të paraqesë sfida për angazhimin kuptimplotë të OJQ-ve më të vogla me kapacitete të kufizuara, dhe ky aspekt do të trajtohet më tej në kuadër të hartimit të Manualit të ri për zbatimin e standardeve minimale për konsultimet publike.</w:t>
            </w:r>
          </w:p>
        </w:tc>
      </w:tr>
      <w:tr w:rsidR="00093E56" w14:paraId="00F96955" w14:textId="77777777" w:rsidTr="00843505">
        <w:trPr>
          <w:trHeight w:val="4009"/>
        </w:trPr>
        <w:tc>
          <w:tcPr>
            <w:tcW w:w="618" w:type="dxa"/>
          </w:tcPr>
          <w:p w14:paraId="0EEF5EF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01BF67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GLPS</w:t>
            </w:r>
          </w:p>
        </w:tc>
        <w:tc>
          <w:tcPr>
            <w:tcW w:w="2239" w:type="dxa"/>
          </w:tcPr>
          <w:p w14:paraId="1BCBE67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2. Raporti mbi komentet e pranuara dhe të refuzuara</w:t>
            </w:r>
            <w:r>
              <w:rPr>
                <w:rFonts w:ascii="Candara" w:eastAsia="Times New Roman" w:hAnsi="Candara" w:cs="Times New Roman"/>
                <w:b/>
                <w:bCs/>
                <w:sz w:val="18"/>
                <w:szCs w:val="18"/>
                <w:lang w:val="sq-AL"/>
              </w:rPr>
              <w:br/>
            </w:r>
            <w:r>
              <w:rPr>
                <w:rFonts w:ascii="Candara" w:eastAsia="Times New Roman" w:hAnsi="Candara" w:cs="Times New Roman"/>
                <w:sz w:val="18"/>
                <w:szCs w:val="18"/>
                <w:lang w:val="sq-AL"/>
              </w:rPr>
              <w:br/>
              <w:t>GLPS, si organizatë që në vazhdimësi ka kontribuuar përmes komenteve e rekomandimeve në hartimin e politikave në fushat ku ka specializim, rithekson faktin se një nga elementet thelbësore që e rrisin cilësinë e konsultimeve publike janë edhe përgjigjet e institucioneve në raport me komentete/rekomandimet e adresuara ose që nuk janë pranuar. Një feedback institucional në rastet e tilla do të vinte në pah dy elemente të rëndësishme. E para, rezultatin dhe gatishmërinë e institucioneve për të komentet e pranuara dhe vlerën e inputeve të shoqërisë civile. Si dhe e dyta, arsyetimi për mos pranim të komenteve kontribuon në llogaridhënie institucionale dhe rrit cilësinë e komenteve për të ardhmen. Prandaj, me qëllim që të rritet gatishmëria e organizatave të shoqërisë civile për kontribut në hartimin e politikave publike, mbetet kruciale feedback-u nga ana e institucioneve.</w:t>
            </w:r>
          </w:p>
        </w:tc>
        <w:tc>
          <w:tcPr>
            <w:tcW w:w="1468" w:type="dxa"/>
          </w:tcPr>
          <w:p w14:paraId="7854260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4F440ED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Pas fjalisë </w:t>
            </w:r>
            <w:r>
              <w:rPr>
                <w:rFonts w:ascii="Candara" w:eastAsia="Times New Roman" w:hAnsi="Candara" w:cs="Times New Roman"/>
                <w:i/>
                <w:iCs/>
                <w:sz w:val="18"/>
                <w:szCs w:val="18"/>
                <w:lang w:val="sq-AL"/>
              </w:rPr>
              <w:t>"Meqë angazhimi i palëve të interesuara në procesin e konsultimit, veçanërisht OShC-të kërkon burime dhe ekspertizë të mjaftueshme, duhet të ketë planifikim më të mirë dhe informacion në kohë për palët e interesuara përpara se të fillojë procesi i konsultimit."</w:t>
            </w:r>
            <w:r>
              <w:rPr>
                <w:rFonts w:ascii="Candara" w:eastAsia="Times New Roman" w:hAnsi="Candara" w:cs="Times New Roman"/>
                <w:sz w:val="18"/>
                <w:szCs w:val="18"/>
                <w:lang w:val="sq-AL"/>
              </w:rPr>
              <w:t xml:space="preserve"> shtohet fjalia </w:t>
            </w:r>
            <w:r>
              <w:rPr>
                <w:rFonts w:ascii="Candara" w:eastAsia="Times New Roman" w:hAnsi="Candara" w:cs="Times New Roman"/>
                <w:b/>
                <w:bCs/>
                <w:i/>
                <w:iCs/>
                <w:sz w:val="18"/>
                <w:szCs w:val="18"/>
                <w:lang w:val="sq-AL"/>
              </w:rPr>
              <w:t>"Gjithashtu, duhet të ketë kthim të rregullt të feedback-ut institucional, duke rritur transparencën mbi mënyrën se si kontributet e OShC-ve merren parasysh dhe reflektohen në dokumentet finale të politikave dhe legjislacionit, ose arsyet për pranimin e pjesshëm ose mospranimin e tyre."</w:t>
            </w:r>
          </w:p>
        </w:tc>
      </w:tr>
      <w:tr w:rsidR="00093E56" w14:paraId="6CB4FF42" w14:textId="77777777" w:rsidTr="00843505">
        <w:trPr>
          <w:trHeight w:val="3435"/>
        </w:trPr>
        <w:tc>
          <w:tcPr>
            <w:tcW w:w="618" w:type="dxa"/>
          </w:tcPr>
          <w:p w14:paraId="7B4A8996"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58D4A0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GLPS</w:t>
            </w:r>
          </w:p>
        </w:tc>
        <w:tc>
          <w:tcPr>
            <w:tcW w:w="2239" w:type="dxa"/>
          </w:tcPr>
          <w:p w14:paraId="485E1B1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3. Takimet periodike për vlerësimin e rezultateve</w:t>
            </w:r>
            <w:r>
              <w:rPr>
                <w:rFonts w:ascii="Candara" w:eastAsia="Times New Roman" w:hAnsi="Candara" w:cs="Times New Roman"/>
                <w:b/>
                <w:bCs/>
                <w:sz w:val="18"/>
                <w:szCs w:val="18"/>
                <w:lang w:val="sq-AL"/>
              </w:rPr>
              <w:br/>
            </w:r>
            <w:r>
              <w:rPr>
                <w:rFonts w:ascii="Candara" w:eastAsia="Times New Roman" w:hAnsi="Candara" w:cs="Times New Roman"/>
                <w:sz w:val="18"/>
                <w:szCs w:val="18"/>
                <w:lang w:val="sq-AL"/>
              </w:rPr>
              <w:br/>
              <w:t>Me qëllim që të mbahet evidencë mbi rezultatet e bashkëpunimit në mes Qeverisë së Republikës së Kosovës dhe OSHC-ve, GLPS vlerëson që Këshilli përfaqësues duhet të mbajë takime të rregullta periodike për të vlerësuar sfidat dhe arritjet. Mandati i këtij Këshilli duhet të jetë i qartë dhe agjendat e takimeve të jenë publike. Më pas, ndarja e të gjeturave dhe rekomandimeve që rrjedhin nga këto takime, përveç që tregon seriozitetin e bashkëpunimit mes Ekzekutivit dhe Shoqërisë Civile, mund të ketë ndikim direkt në rritjen e shkallës së pjesëmarrjes së OJQ-ve në procese të konsultimit publik dhe integrim më të madh të inputeve të tyre në hartim të politikave.</w:t>
            </w:r>
          </w:p>
        </w:tc>
        <w:tc>
          <w:tcPr>
            <w:tcW w:w="1468" w:type="dxa"/>
          </w:tcPr>
          <w:p w14:paraId="5D429A9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5F30C2F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parasheh si objektiv që gjatë vitit 2026 të mbahen të paktën dy takime periodike të Këshillit për Bashkëpunim të Qeverisë me Shoqërinë Civile, me synim që deri në fund të vitit 2028 të mbahen së paku katër takime periodike. Gjithashtu, parashihet që Këshilli të organizojë edhe sesione në qytete të ndryshme të vendit, ku OShC lokale mund të informohen mbi çështje të rëndësishme për zhvillimin e shoqërisë civile.</w:t>
            </w:r>
          </w:p>
        </w:tc>
      </w:tr>
      <w:tr w:rsidR="00093E56" w14:paraId="2A245F62" w14:textId="77777777" w:rsidTr="00843505">
        <w:trPr>
          <w:trHeight w:val="5985"/>
        </w:trPr>
        <w:tc>
          <w:tcPr>
            <w:tcW w:w="618" w:type="dxa"/>
          </w:tcPr>
          <w:p w14:paraId="76B16C4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F93CFD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GLPS</w:t>
            </w:r>
          </w:p>
        </w:tc>
        <w:tc>
          <w:tcPr>
            <w:tcW w:w="2239" w:type="dxa"/>
          </w:tcPr>
          <w:p w14:paraId="3498275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4. Përfshirje më e madhe e nivelit lokal</w:t>
            </w:r>
            <w:r>
              <w:rPr>
                <w:rFonts w:ascii="Candara" w:eastAsia="Times New Roman" w:hAnsi="Candara" w:cs="Times New Roman"/>
                <w:b/>
                <w:bCs/>
                <w:sz w:val="18"/>
                <w:szCs w:val="18"/>
                <w:lang w:val="sq-AL"/>
              </w:rPr>
              <w:br/>
            </w:r>
            <w:r>
              <w:rPr>
                <w:rFonts w:ascii="Candara" w:eastAsia="Times New Roman" w:hAnsi="Candara" w:cs="Times New Roman"/>
                <w:sz w:val="18"/>
                <w:szCs w:val="18"/>
                <w:lang w:val="sq-AL"/>
              </w:rPr>
              <w:br/>
              <w:t>Draft Strategjia ndonëse mbulon në përgjithësi nivelin qendror të qeverisjes, pak elaborohet niveli lokal dhe detyrimet e tij në raport me konsultimet publike. GLPS e vlerëson tejet të rëndësishme që pjesë e Draft Strategjisë të jenë edhe Komunat, marrë parasysh faktin se përmes Ligjit për Vetëqeverisja Lokale, të njëjtat kanë kompetenca të rëndësishme sa i përket hartimit të politikave që ndikojnë direkt në interesin publik. Prandaj, me qëllim që të rritet transparenca dhe llogaridhënia në raport me kompetencat vetanake dhe ato të deleguara të Komunave, Draft Strategjia duhet të përmbajë indikatorë të veçantë edhe për rezultatet që dalin nga proceset e konsultimeve në nivel lokal.</w:t>
            </w:r>
          </w:p>
        </w:tc>
        <w:tc>
          <w:tcPr>
            <w:tcW w:w="1468" w:type="dxa"/>
          </w:tcPr>
          <w:p w14:paraId="4C29369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641F91A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adreson disa dimensione të konsultimeve publike në nivel lokal, përfshirë rolin e MAPL-së në promovimin dhe fuqizimin e procesit të konsultimeve publike, mekanizmat e përgjithshëm të monitorimit, si dhe përgatitjen e raporteve vjetore për konsultimet publike në nivel lokal. Çështjet që lidhen me mekanizmat dhe procedurat specifike të konsultimit publik në nivel komunal rregullohen përmes akteve përkatëse në nivel të komunave, përfshirë Udhëzimin Administrativ për Administratë të Hapur në Komunë. Megjithatë, Manuali i ri do ta trajtojë dhe marrë parasysh këtë dimension, duke synuar një qasje më të unifikuar, të qartë dhe praktike për zbatimin e konsultimeve publike.</w:t>
            </w:r>
            <w:r>
              <w:rPr>
                <w:rFonts w:ascii="Candara" w:eastAsia="Times New Roman" w:hAnsi="Candara" w:cs="Times New Roman"/>
                <w:sz w:val="18"/>
                <w:szCs w:val="18"/>
                <w:lang w:val="sq-AL"/>
              </w:rPr>
              <w:br/>
              <w:t>Raportimi për konsultimet publike përfshin edhe nivelin lokal, ku komunat tashmë janë pjesë e platformës për konsultime me publikun. Për më tepër, ky dokument parasheh fuqizimin e mëtejshëm të mekanizmave të konsultimit publik edhe në nivel lokal, me qëllim rritjen e transparencës, pjesëmarrjes së qytetarëve dhe zbatimit më efektiv të proceseve konsultative.</w:t>
            </w:r>
            <w:r>
              <w:rPr>
                <w:rFonts w:ascii="Candara" w:eastAsia="Times New Roman" w:hAnsi="Candara" w:cs="Times New Roman"/>
                <w:sz w:val="18"/>
                <w:szCs w:val="18"/>
                <w:lang w:val="sq-AL"/>
              </w:rPr>
              <w:br/>
              <w:t>Gjithashtu, aspekti i financimit të OShC-ve dhe komunitetit lokal është pjesë e fushëveprimit të këtij dokumenti, duke përfshirë planifikimin e financimit, mekanizmat e raportimit dhe rritjen e transparencës mbi financimin, si dhe përfshirjen e këtyre elementeve në platformat përkatëse për financimin e komunitetit lokal.</w:t>
            </w:r>
          </w:p>
        </w:tc>
      </w:tr>
      <w:tr w:rsidR="00093E56" w14:paraId="76D9EAA6" w14:textId="77777777" w:rsidTr="00843505">
        <w:trPr>
          <w:trHeight w:val="7125"/>
        </w:trPr>
        <w:tc>
          <w:tcPr>
            <w:tcW w:w="618" w:type="dxa"/>
          </w:tcPr>
          <w:p w14:paraId="506BFBA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9A239B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EULEX</w:t>
            </w:r>
          </w:p>
        </w:tc>
        <w:tc>
          <w:tcPr>
            <w:tcW w:w="2239" w:type="dxa"/>
          </w:tcPr>
          <w:p w14:paraId="3F8C171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1: Krijimi i një Mjedisi të Favorshëm për Pjesëmarrjen e Publikut në Hartimin e Politikave</w:t>
            </w:r>
            <w:r>
              <w:rPr>
                <w:rFonts w:ascii="Candara" w:eastAsia="Times New Roman" w:hAnsi="Candara" w:cs="Times New Roman"/>
                <w:b/>
                <w:bCs/>
                <w:sz w:val="18"/>
                <w:szCs w:val="18"/>
                <w:lang w:val="sq-AL"/>
              </w:rPr>
              <w:br/>
            </w:r>
            <w:r>
              <w:rPr>
                <w:rFonts w:ascii="Candara" w:eastAsia="Times New Roman" w:hAnsi="Candara" w:cs="Times New Roman"/>
                <w:sz w:val="18"/>
                <w:szCs w:val="18"/>
                <w:lang w:val="sq-AL"/>
              </w:rPr>
              <w:br/>
              <w:t>Strategjia në përgjithësi është  në përputhje me udhëzimet e BE-së dhe rekomandimet e DG ENER/DG ENEST në lidhje me përfshirjen, transparencën, monitorimin dhe ndërtimin e kapaciteteve të OSHC-ve. Megjithatë, ajo duhet të sigurojë procedurë të standardizuar në nivel komunal, në mënyrë që të gjitha komunat  të ndjekin të njëjtat rregulla dhe hapa kur konsultohen me OSHC-të dhe qytetarët.</w:t>
            </w:r>
          </w:p>
        </w:tc>
        <w:tc>
          <w:tcPr>
            <w:tcW w:w="1468" w:type="dxa"/>
          </w:tcPr>
          <w:p w14:paraId="7C5E946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536F7B4C" w14:textId="77777777" w:rsidR="00093E56" w:rsidRDefault="00843505">
            <w:pPr>
              <w:spacing w:line="276" w:lineRule="auto"/>
              <w:ind w:right="-378"/>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adreson disa dimensione të konsultimeve publike në nivel lokal, përfshirë rolin e MAPL-së në promovimin dhe fuqizimin e procesit të konsultimeve publike, mekanizmat e përgjithshëm të monitorimit, si dhe përgatitjen e raporteve vjetore për konsultimet publike në nivel lokal. Çështjet që lidhen me mekanizmat dhe procedurat specifike të konsultimit publik në nivel komunal rregullohen përmes akteve përkatëse në nivel të komunave, përfshirë Udhëzimin Administrativ për Administratë të Hapur në Komunë. Megjithatë, duke pasur parasysh se mekanizmat e konsultimit publik në nivel lokal ende nuk janë të zhvilluar dhe të konsoliduar në mënyrë të plotë në të gjitha komunat, Manuali i ri do ta trajtojë këtë dimension me qëllim fuqizimin e tyre dhe sigurimin e një qasjeje më të unifikuar, të qartë dhe praktike për zbatimin e konsultimeve publike në nivel lokal. Raportimi për konsultimet publike përfshin edhe nivelin lokal, ku komunat tashmë janë pjesë e platformës për konsultime me publikun. Për më tepër, ky dokument parasheh forcimin e mëtejshëm të mekanizmave të konsultimit publik edhe në nivel lokal, duke përfshirë përmirësimin e proceseve të monitorimit, raportimit dhe transparencës, me qëllim rritjen e pjesëmarrjes së qytetarëve dhe organizatave të shoqërisë civile në proceset vendimmarrëse. Në këtë drejtim, Strategjia është në përputhje me parimet dhe rekomandimet evropiane lidhur me përfshirjen, transparencën, monitorimin dhe ndërtimin e kapaciteteve të OShC-ve. Njëkohësisht, në kuadër të zbatimit të saj synohet krijimi dhe avancimi i procedurave më të standardizuara në nivel komunal, në mënyrë që komunat të kenë një kornizë të përbashkët dhe të qartë për zhvillimin e konsultimeve me OShC-të dhe qytetarët.</w:t>
            </w:r>
          </w:p>
        </w:tc>
      </w:tr>
      <w:tr w:rsidR="00093E56" w14:paraId="56473A82" w14:textId="77777777" w:rsidTr="00843505">
        <w:trPr>
          <w:trHeight w:val="1995"/>
        </w:trPr>
        <w:tc>
          <w:tcPr>
            <w:tcW w:w="618" w:type="dxa"/>
          </w:tcPr>
          <w:p w14:paraId="210BCC8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CB32CF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EULEX</w:t>
            </w:r>
          </w:p>
        </w:tc>
        <w:tc>
          <w:tcPr>
            <w:tcW w:w="2239" w:type="dxa"/>
          </w:tcPr>
          <w:p w14:paraId="60CFECB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2: Qëndrueshmëri e përmirësuar, financim transparent dhe i diversifikuar i OSHC-ve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Strategjia duhet të sigurojë që mundësitë e financimit të jenë të qasshme  për të gjitha llojet e OSHC-ve, duke përfshirë organizatat më të vogla dhe lokale, dhe të përcaktoj procese vlerësimi të ndikimit për të ndjekur efektivitetin e financimit dhe rezultatet e projekteve të mbështetura.</w:t>
            </w:r>
          </w:p>
        </w:tc>
        <w:tc>
          <w:tcPr>
            <w:tcW w:w="1468" w:type="dxa"/>
          </w:tcPr>
          <w:p w14:paraId="23B9408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4ECAA2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Rëndësia e sigurimit të qasjes së barabartë në financim është pjesë e qasjes së përgjithshme të strategjisë për forcimin e qëndrueshmërisë financiare për OJQ-të. Kjo qasje e përgjithshme përfshin financimin për të gjitha OShC-të, duke përfshirë edhe organizatat më të vogla dhe ato lokale. Gjithashtu, Rregullorja mbi Kriteret, Standardet dhe Procedurat e Financimit Publik të OJQ-ve e mundëson qasjen e barabartë në financim, ndërsa listat e OJQ-ve përfituese e konfirmojnë këtë.</w:t>
            </w:r>
          </w:p>
        </w:tc>
      </w:tr>
      <w:tr w:rsidR="00093E56" w14:paraId="39105610" w14:textId="77777777" w:rsidTr="00843505">
        <w:trPr>
          <w:trHeight w:val="2280"/>
        </w:trPr>
        <w:tc>
          <w:tcPr>
            <w:tcW w:w="618" w:type="dxa"/>
          </w:tcPr>
          <w:p w14:paraId="059C5F8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B0875E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EULEX</w:t>
            </w:r>
          </w:p>
        </w:tc>
        <w:tc>
          <w:tcPr>
            <w:tcW w:w="2239" w:type="dxa"/>
          </w:tcPr>
          <w:p w14:paraId="6EA03F4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3. Zhvillimi i praktikave dhe procedurave për kontraktimin e OSHC - ve për ofrimin e shërbimeve publike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Rekomandohet që Strategjia të përfshijë mekanizma vlerësimi për shërbimet e kontraktuara për të siguruar financim të parashikueshëm dhe të qëndrueshëm dhe për të ofruar qasje gjithëpërfshirëse në mundësitë e kontraktimit për të gjitha OSHC-të.</w:t>
            </w:r>
          </w:p>
        </w:tc>
        <w:tc>
          <w:tcPr>
            <w:tcW w:w="1468" w:type="dxa"/>
          </w:tcPr>
          <w:p w14:paraId="14A7E27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07A7526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parasheh hartimin e një sistemi raportimi për efektivitetin e granteve, duke përfshirë përgatitjen e raporteve periodike mbi përdorimin dhe ndikimin e tyre. Gjithashtu, Plani parasheh krijimin e një trupi koordinues, i cili do të takohet të paktën katër herë në vit, për monitorimin dhe mbikëqyrjen e zbatimit të procedurës për kontraktimin e OShC-ve për shërbime publike, me qëllim sigurimin e zbatimit të rregullt të procedurave dhe të garantohet qasje gjithëpërfshirëse në mundësitë e kontraktimit për të gjitha OJQ-të.</w:t>
            </w:r>
          </w:p>
        </w:tc>
      </w:tr>
      <w:tr w:rsidR="00093E56" w14:paraId="3BC243C3" w14:textId="77777777" w:rsidTr="00843505">
        <w:trPr>
          <w:trHeight w:val="1710"/>
        </w:trPr>
        <w:tc>
          <w:tcPr>
            <w:tcW w:w="618" w:type="dxa"/>
          </w:tcPr>
          <w:p w14:paraId="42C2833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B2FF7C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EULEX</w:t>
            </w:r>
          </w:p>
        </w:tc>
        <w:tc>
          <w:tcPr>
            <w:tcW w:w="2239" w:type="dxa"/>
          </w:tcPr>
          <w:p w14:paraId="3A411BE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Objektivi 4: Rritja e vullnetarizmit në programet e përfitimit publik</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Strategjia mund ta forcojë këtë objektiv duke krijuar mekanizma monitorimi dhe vlerësimi me tregues të qartë, duke siguruar financim dhe staf të qëndrueshëm për iniciativat vullnetare, duke ofruar qasje gjithëpërfshirës për të gjitha grupet dhe duke zhvilluar një plan me përgjegjësi të përcaktuara.</w:t>
            </w:r>
          </w:p>
        </w:tc>
        <w:tc>
          <w:tcPr>
            <w:tcW w:w="1468" w:type="dxa"/>
          </w:tcPr>
          <w:p w14:paraId="6ED856D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7C89565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Korniza për vullnetarizmin, specifikisht Koncept Dokumenti për Vullnetarizmin, është në proces të finalizimit, dhe mekanizmat e monitorimit dhe vlerësimit, forcimi i financimit dhe kapaciteteve njerëzore, sigurimi i qasjes gjithëpërfshirëse dhe qartësimi i përgjegjësive institucionale, do të adresohen në mënyrë të detajuar në këtë dokument.</w:t>
            </w:r>
          </w:p>
        </w:tc>
      </w:tr>
      <w:tr w:rsidR="00093E56" w14:paraId="70B4F619" w14:textId="77777777" w:rsidTr="00843505">
        <w:trPr>
          <w:trHeight w:val="2235"/>
        </w:trPr>
        <w:tc>
          <w:tcPr>
            <w:tcW w:w="618" w:type="dxa"/>
          </w:tcPr>
          <w:p w14:paraId="26AE68E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BFC4B2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EULEX</w:t>
            </w:r>
          </w:p>
        </w:tc>
        <w:tc>
          <w:tcPr>
            <w:tcW w:w="2239" w:type="dxa"/>
          </w:tcPr>
          <w:p w14:paraId="68DCD99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dhe Ndarjet Buxhetore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Rekomandohet që Plani i Veprimit të rishikohet për të përfshirë ndarje buxhetore më të qarta dhe më të detajuara për secilin veprim, duke specifikuar burimet e financimit dhe shumat treguese aty ku është e mundur. Kjo do të rriste besueshmërinë e Planit të Veprimit dhe do të zvogëlonte rrezikun e moszbatimit.</w:t>
            </w:r>
          </w:p>
        </w:tc>
        <w:tc>
          <w:tcPr>
            <w:tcW w:w="1468" w:type="dxa"/>
          </w:tcPr>
          <w:p w14:paraId="7B9419F8"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7BB52E0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përfshin ndarje buxhetore për shumicën e veprimeve. Megjithatë, do të shqyrtohet mundësia për të specifikuar më tej shumat treguese aty ku është e mundur, si dhe burimet e financimit, veçanërisht pas organizimit të takimit me komunitetin e donatorëve me qëllim vlerësimin e interesit të tyre për mbështetjen e aktiviteteve të parapara në Planin e Veprimit, për organizimin e të cilit Zyra për Qeverisje të Mirë do të ndërmarrë të gjitha veprimet e nevojshme.</w:t>
            </w:r>
          </w:p>
        </w:tc>
      </w:tr>
      <w:tr w:rsidR="00093E56" w14:paraId="1A5D50C2" w14:textId="77777777" w:rsidTr="00843505">
        <w:trPr>
          <w:trHeight w:val="4275"/>
        </w:trPr>
        <w:tc>
          <w:tcPr>
            <w:tcW w:w="618" w:type="dxa"/>
          </w:tcPr>
          <w:p w14:paraId="695218A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D88134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EULEX</w:t>
            </w:r>
          </w:p>
        </w:tc>
        <w:tc>
          <w:tcPr>
            <w:tcW w:w="2239" w:type="dxa"/>
          </w:tcPr>
          <w:p w14:paraId="3858AAD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Përzgjedhja e Përfaqësuesve të OSHC-ve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Ndërsa Strategjia identifikon saktë sfidën që procesi për zgjedhjen e përfaqësuesve të OSHC-ve (Organizatave të Shoqërisë Civile) për grupet e punës është informal dhe potencialisht përjashtues, ai nuk propozon masa konkrete për të adresuar këtë çështje. Rekomandohet që Strategjia dhe Plani i Veprimit të përfshijnë veprime specifike për të krijuar një procedurë transparente, gjithëpërfshirëse dhe standarde për përzgjedhjen e përfaqësuesve të OSHC-ve. Mund të merret në konsideratë krijimi i një baze të dhënash kombëtare të OSHC-ve të regjistruara, e cila do të lehtësonte një shtrirje më të gjerë, do të përmirësonte përfshirjen dhe do të ndihmonte në sigurimin e një pjesëmarrjeje më të barabartë të aktorëve të shoqërisë civile.</w:t>
            </w:r>
            <w:r>
              <w:rPr>
                <w:rFonts w:ascii="Candara" w:eastAsia="Times New Roman" w:hAnsi="Candara" w:cs="Times New Roman"/>
                <w:sz w:val="18"/>
                <w:szCs w:val="18"/>
                <w:lang w:val="sq-AL"/>
              </w:rPr>
              <w:br/>
              <w:t>Forcimi i projekt Strategjisë me rekomandimet e lartpërmendura do të rrisë efektivitetin e saj në mbështetjen e vlerave demokratike dhe në forcimin e integritetit të qeverisjes publike dhe procesit të angazhimit qytetar.</w:t>
            </w:r>
          </w:p>
        </w:tc>
        <w:tc>
          <w:tcPr>
            <w:tcW w:w="1468" w:type="dxa"/>
          </w:tcPr>
          <w:p w14:paraId="3C9ED358"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341EBD9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Një bazë të dhënash kombëtare të OShC-ve të regjistruara tashmë ekziston dhe menaxhohet nga DOJQ. Ndërsa, procedurat dhe standardet për përzgjedhjen e përfaqësuesve të OShC-ve në grupet punuese rregullohen me Rregulloren e Punës së Qeverisë së Republikës së Kosovës, dhe si të tilla e tejkalonë fushëveprimin e drejtpërdrejtë të Strategjisë. Megjithatë, kjo çështje do të trajtohet më tej në kuadër të hartimit të Manualit të ri për zbatimin e standardeve minimale për konsultimet publike.</w:t>
            </w:r>
          </w:p>
        </w:tc>
      </w:tr>
      <w:tr w:rsidR="00093E56" w14:paraId="2789E505" w14:textId="77777777" w:rsidTr="00843505">
        <w:trPr>
          <w:trHeight w:val="2280"/>
        </w:trPr>
        <w:tc>
          <w:tcPr>
            <w:tcW w:w="618" w:type="dxa"/>
          </w:tcPr>
          <w:p w14:paraId="08EFEDB5"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77EFA5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5D55CCC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Propozohet të shtohet në seksionin 1.4.1.2.1 (Konsultimet publike), paragrafi 2: "Shkurtrimet e fundit të financimit për OShC-të, veçanërisht ato që merren me të drejtat e grave, mund të pengojnë aftësinë e tyre për të pasur burime të mjaftueshme për rishikimin e </w:t>
            </w:r>
            <w:r>
              <w:rPr>
                <w:rFonts w:ascii="Candara" w:eastAsia="Times New Roman" w:hAnsi="Candara" w:cs="Times New Roman"/>
                <w:sz w:val="18"/>
                <w:szCs w:val="18"/>
                <w:lang w:val="sq-AL"/>
              </w:rPr>
              <w:lastRenderedPageBreak/>
              <w:t>projekteve të ligjeve dhe politikave, si dhe për të angazhuar gra dhe burra të ndryshëm në konsultime publike, gjë që kërkon kohë dhe burime njerëzore."</w:t>
            </w:r>
          </w:p>
        </w:tc>
        <w:tc>
          <w:tcPr>
            <w:tcW w:w="1468" w:type="dxa"/>
          </w:tcPr>
          <w:p w14:paraId="3F9E59C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38E7969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Ideja thelbësore pranohet. Formulimi riformulohet dhe shkurtohet për t’iu përshtatur rrjedhës së paragrafit dhe për të shmangur hapjen e një nën-argumenti të veçantë për financimin në këtë pjesë të tekstit. Përmbajtja do të integrohet në fund të paragrafit përkatës, duke theksuar se kjo sfidë është më e theksuar në kontekstin e shkurtimeve të fundit të financimit, dhe se kjo mund të kufizojë aftësinë e tyre për të analizuar draftet, për të përgatitur komente cilësore dhe për të mobilizuar pjesëmarrje gjithëpërfshirëse në konsultime publike.</w:t>
            </w:r>
          </w:p>
        </w:tc>
      </w:tr>
      <w:tr w:rsidR="00093E56" w14:paraId="47B1A8FD" w14:textId="77777777" w:rsidTr="00843505">
        <w:trPr>
          <w:trHeight w:val="2850"/>
        </w:trPr>
        <w:tc>
          <w:tcPr>
            <w:tcW w:w="618" w:type="dxa"/>
          </w:tcPr>
          <w:p w14:paraId="7023BE7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64DD5C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30F46A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fjalia "Ndërsa disa praktika gjithëpërfshirëse ndodhin përmes platformave si CIVIKOS, kuadrit ligjor i mungojnë standardet e zbatueshme për të garantuar përfaqësim të balancuar, veçanërisht për grupet e nën-përfaqësuara." në: "Procesi për përzgjedhjen e përfaqësuesve të OSHC-ve për grupet e punës është informal dhe potencialisht përjashtues, duke i disavantazhuar OSHC-të jashtë rrjeteve të vendosura ose duke u munguar kapaciteti dixhital. Ndërsa disa praktika gjithëpërfshirëse ndodhin përmes platformave si CIVIKOS dhe Rrjeti i Grave të Kosovës, kuadrit ligjor i mungojnë standardet e zbatueshme për të garantuar përfaqësim të balancuar, veçanërisht për grupet e nën-përfaqësuara."</w:t>
            </w:r>
          </w:p>
        </w:tc>
        <w:tc>
          <w:tcPr>
            <w:tcW w:w="1468" w:type="dxa"/>
          </w:tcPr>
          <w:p w14:paraId="4C173FB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32F3A29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Ideja që praktikat gjithëpërfshirëse ndodhin përtej një platforme të vetme pranohet, por emri i organizatës specifike nuk përfshihet për të ruajtur neutralitetin e tekstit strategjik. Përfshirja nominale e një organizate të veçantë krijon përshtypjen e vetë-promovimit dhe e zhvendos tekstin nga përshkrimi strukturor i problemit në përmendje selektive të akterëve, pa kritere të qarta pse duhet të përmenden disa organizata e jo të tjera. Formulimi i ri: "Ndërsa disa praktika gjithëpërfshirëse ndodhin përmes platformave dhe rrjeteve të shoqërisë civile, kuadrit ligjor i mungojnë standardet e zbatueshme për të garantuar përfaqësim të balancuar, veçanërisht për grupet e nën-përfaqësuara."</w:t>
            </w:r>
          </w:p>
        </w:tc>
      </w:tr>
      <w:tr w:rsidR="00093E56" w14:paraId="7B9F5B64" w14:textId="77777777" w:rsidTr="00843505">
        <w:trPr>
          <w:trHeight w:val="1995"/>
        </w:trPr>
        <w:tc>
          <w:tcPr>
            <w:tcW w:w="618" w:type="dxa"/>
          </w:tcPr>
          <w:p w14:paraId="05ACD0D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1D4CDA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6BE1673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Propozohet të ndryshohet fjalia "Brenda kontekstit më të gjerë të ambicieve të integrimit të Kosovës në BE, OSHC-të përballen me kufizime strukturore dhe procedurale për përfshirje kuptimplote në hartimin e politikave që lidhen me anëtarësimin." në: "Brenda kontekstit më të gjerë të ambicieve të integrimit të </w:t>
            </w:r>
            <w:r>
              <w:rPr>
                <w:rFonts w:ascii="Candara" w:eastAsia="Times New Roman" w:hAnsi="Candara" w:cs="Times New Roman"/>
                <w:sz w:val="18"/>
                <w:szCs w:val="18"/>
                <w:lang w:val="sq-AL"/>
              </w:rPr>
              <w:lastRenderedPageBreak/>
              <w:t>Kosovës në BE, OSHC-të përballen me kufizime financiare, në kapacitete, strukturore dhe procedurale për përfshirje kuptimplote në hartimin e politikave që lidhen me anëtarësimin."</w:t>
            </w:r>
          </w:p>
        </w:tc>
        <w:tc>
          <w:tcPr>
            <w:tcW w:w="1468" w:type="dxa"/>
          </w:tcPr>
          <w:p w14:paraId="4140842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Nuk pranohet</w:t>
            </w:r>
          </w:p>
        </w:tc>
        <w:tc>
          <w:tcPr>
            <w:tcW w:w="4957" w:type="dxa"/>
          </w:tcPr>
          <w:p w14:paraId="631A1B8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Formulimi origjinal mbanë një premisë të pasaktë: praktikat gjithëpërfshirëse për pjesëmarrje në grupe punuese nuk ndodhin nëpërmjet CIVIKOS-it. Referenca ndaj platformave specifike hiqet tërësisht.</w:t>
            </w:r>
          </w:p>
        </w:tc>
      </w:tr>
      <w:tr w:rsidR="00093E56" w14:paraId="34D2F70C" w14:textId="77777777" w:rsidTr="00843505">
        <w:trPr>
          <w:trHeight w:val="2715"/>
        </w:trPr>
        <w:tc>
          <w:tcPr>
            <w:tcW w:w="618" w:type="dxa"/>
          </w:tcPr>
          <w:p w14:paraId="2B81F88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427130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5A10D24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fjalia "Megjithatë, mbështetja në grantet qeveritare shpesh sjell sfida, duke përfshirë buxhetet e luhatshme, ndryshimin e prioriteteve politike, transparencën dhe llogaridhënien në procesin e ofrimit të granteve dhe raportimit mbi rezultatet, etj." në: "Megjithatë, mbështetja në grantet qeveritare shpesh sjell sfida, duke përfshirë buxhetet e luhatshme, financimi afatshkurtër, ndryshimin e prioriteteve politike, transparencën dhe llogaridhënien në procesin e ofrimit të granteve dhe raportimit mbi rezultatet, etj."</w:t>
            </w:r>
          </w:p>
        </w:tc>
        <w:tc>
          <w:tcPr>
            <w:tcW w:w="1468" w:type="dxa"/>
          </w:tcPr>
          <w:p w14:paraId="52608BA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5CDA113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Propozimi e bën më të plotë përshkrimin e sfidave që lidhen me varësinë nga grantet qeveritare, duke shtuar një element shumë relevant: natyrën afatshkurtër të financimit. Formulimi final: "Megjithatë, mbështetja në grantet qeveritare shpesh sjell sfida, duke përfshirë financimin afatshkurtër, buxhetet e luhatshme, ndryshimin e prioriteteve politike, transparencën dhe llogaridhënien në procesin e ofrimit të granteve dhe raportimit mbi rezultatet."</w:t>
            </w:r>
          </w:p>
        </w:tc>
      </w:tr>
      <w:tr w:rsidR="00093E56" w14:paraId="0756406E" w14:textId="77777777" w:rsidTr="00843505">
        <w:trPr>
          <w:trHeight w:val="1995"/>
        </w:trPr>
        <w:tc>
          <w:tcPr>
            <w:tcW w:w="618" w:type="dxa"/>
          </w:tcPr>
          <w:p w14:paraId="1C5C443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AB1454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DBA713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shtohet pas paragrafit për linjat buxhetore (seksioni 1.4.1.2.2): "Në përputhje me Ligjin për Barazinë Gjinore, planifikimi i buxhetit, zbatimi, monitorimi dhe vlerësimi lidhur me këto alokime duhet të përfshijë buxhetim të përgjegjshëm gjinor, megjithatë kjo rrallë ka ndodhur. Buxhetimi i përgjegjshëm gjinor dhe kostimi i saktë mund të ndihmojnë në vlerësimin më të mirë të nevojave dhe në buxhetimin më të efektshëm nga qeveria për t'u përgjigjur këtyre nevojave."</w:t>
            </w:r>
          </w:p>
        </w:tc>
        <w:tc>
          <w:tcPr>
            <w:tcW w:w="1468" w:type="dxa"/>
          </w:tcPr>
          <w:p w14:paraId="1496BB2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75959A8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Ideja pranohet pasi e forcon tekstin duke lidhur financimin publik me obligimet ekzistuese për buxhetim të përgjegjshëm gjinor. Megjithatë, riformulohet më shkurt për të shmangur tonin tepër normativ: "Në përputhje me Ligjin për Barazinë Gjinore, planifikimi, zbatimi, monitorimi dhe vlerësimi i alokimeve publike për OShC-të duhet të përfshijë buxhetim të përgjegjshëm gjinor dhe kostim të saktë të nevojave, me qëllim të një buxhetimi më efektiv dhe më të përgjegjshëm."</w:t>
            </w:r>
          </w:p>
        </w:tc>
      </w:tr>
      <w:tr w:rsidR="00093E56" w14:paraId="692877BC" w14:textId="77777777" w:rsidTr="00843505">
        <w:trPr>
          <w:trHeight w:val="3420"/>
        </w:trPr>
        <w:tc>
          <w:tcPr>
            <w:tcW w:w="618" w:type="dxa"/>
          </w:tcPr>
          <w:p w14:paraId="12F27A87" w14:textId="77777777" w:rsidR="00093E56" w:rsidRDefault="00093E56">
            <w:pPr>
              <w:pStyle w:val="ListParagraph"/>
              <w:numPr>
                <w:ilvl w:val="0"/>
                <w:numId w:val="1"/>
              </w:numPr>
              <w:spacing w:line="276" w:lineRule="auto"/>
              <w:jc w:val="both"/>
              <w:rPr>
                <w:rFonts w:ascii="Candara" w:eastAsia="Times New Roman" w:hAnsi="Candara" w:cs="Times New Roman"/>
                <w:color w:val="FF0000"/>
                <w:sz w:val="20"/>
                <w:szCs w:val="20"/>
                <w:lang w:val="sq-AL"/>
              </w:rPr>
            </w:pPr>
          </w:p>
        </w:tc>
        <w:tc>
          <w:tcPr>
            <w:tcW w:w="1158" w:type="dxa"/>
          </w:tcPr>
          <w:p w14:paraId="7B535A3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47B8F3A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shtohet paragraf i ri: "Disa nga donatorët historikë të shoqërisë civile kanë ulur financimin e tyre të përgjithshëm për zhvillim: Shtetet e Bashkuara (mbyllja e USAID), Belgjika me 25% brenda pesë vjetësh, Mbretëria e Bashkuar me 40%, Franca me 37%, Gjermania me 27% dhe Holanda me 30%. Qeveria holandeze gjithashtu ka shpallur planet për të ulur financimin për OJQ-të me më shumë se 70% gjatë periudhës 2026-2030 dhe për të ndalur mbështetjen për barazinë gjinore. Suedia ka ulur të gjithë financimin rajonal, që përfshin mbështetje të konsiderueshme më parë për OShC-të, veçanërisht grupet e grave. Tendencat globale kanë ndikuar në Kosovë. Fondacioni i Shoqërisë Civile të Kosovës (KCSF) vlerësoi se USAID ngrirë 28 milionë euro të lidhura me 68 kontrata OShC-je në Kosovë në vitin 2025."</w:t>
            </w:r>
          </w:p>
        </w:tc>
        <w:tc>
          <w:tcPr>
            <w:tcW w:w="1468" w:type="dxa"/>
          </w:tcPr>
          <w:p w14:paraId="1D6746E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E16BB9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Tendenca e reduktimit të financimit ndërkombëtar njihet si kontekst i rëndësishëm dhe pranohet si shtesë e nevojshme. Kjo do të shtohet në kontekst kur bëhet fjalë për qëndrueshmërinë financiare. Mirëpo do të shkurtohet për të ruajtur koherencën e tekstit dhe do të integrohet në kontekst.</w:t>
            </w:r>
          </w:p>
        </w:tc>
      </w:tr>
      <w:tr w:rsidR="00093E56" w14:paraId="7828274A" w14:textId="77777777" w:rsidTr="00843505">
        <w:trPr>
          <w:trHeight w:val="2850"/>
        </w:trPr>
        <w:tc>
          <w:tcPr>
            <w:tcW w:w="618" w:type="dxa"/>
          </w:tcPr>
          <w:p w14:paraId="5086513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BE7B19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29476D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Propozohet të shtohet paragraf i ri: "Rrjeti i Grave të Kosovës (RrGK) në një anketë të shpejtë në fillim të vitit 2025 identifikoi të paktën 11 OShC-të kosovare që punojnë për avancimin e të drejtave të grave të ndryshme, të cilat kishin humbur ose do të humbnin financime që kapnin më shumë se 1.25 milionë euro. Mesatarisht, kjo përbënte rreth 46% të buxheteve të këtyre OShC-ve për vitin 2025. Anketa e vjeshtës 2025 e RrGK mbi 103 organizata që </w:t>
            </w:r>
            <w:r>
              <w:rPr>
                <w:rFonts w:ascii="Candara" w:eastAsia="Times New Roman" w:hAnsi="Candara" w:cs="Times New Roman"/>
                <w:sz w:val="18"/>
                <w:szCs w:val="18"/>
                <w:lang w:val="sq-AL"/>
              </w:rPr>
              <w:lastRenderedPageBreak/>
              <w:t>punojnë për të drejtat e grave (WCSO) zbuloi se 21% nuk kishin të ardhura në 2025 dhe 57% nuk kishin të ardhura të siguruara për 2026. Vetëm 9% kishin siguruar fonde për vitin 2027 e më tej. Në përgjithësi, 40% e organizatave vërejtën se financimi i tyre kishte rënë gjatë dy viteve të fundit."</w:t>
            </w:r>
          </w:p>
        </w:tc>
        <w:tc>
          <w:tcPr>
            <w:tcW w:w="1468" w:type="dxa"/>
          </w:tcPr>
          <w:p w14:paraId="64A034E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7119719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Tendenca e reduktimit të financimit ndërkombëtar njihet si kontekst i rëndësishëm dhe pranohet si shtesë e nevojshme. Kjo do të shtohet në kontekst kur bëhet fjalë për qëndrueshmërinë financiare. Mirëpo do të shkurtohet për të ruajtur koherencën e tekstit dhe do të integrohet në kontekst.</w:t>
            </w:r>
          </w:p>
        </w:tc>
      </w:tr>
      <w:tr w:rsidR="00093E56" w14:paraId="3F17CBE6" w14:textId="77777777" w:rsidTr="00843505">
        <w:trPr>
          <w:trHeight w:val="5130"/>
        </w:trPr>
        <w:tc>
          <w:tcPr>
            <w:tcW w:w="618" w:type="dxa"/>
          </w:tcPr>
          <w:p w14:paraId="377835F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9BA6CB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FE88BBC" w14:textId="417E59D6"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Propozohet të shtohet paragraf i ri: "Hulumtimi i RrGK-së ka gjetur se shkurtrimet e financimit kanë: rrezikuar jetët (p.sh., për shkak të dhunës ose mungesës së kujdesit shëndetësor); ulur sigurinë për aktivistët; kontribuar në humbjen e aksesit të grave në mbështetje ekonomike, programe fuqizimi dhe shërbime si strehim ose këshillim; dhe zvogëluar avokimin/monitorimin, ngritjen e vetëdijes, edukimin, hulumtimin, monitorimin, vlerësimin dhe mësimin. Shkurtimet kanë ndikuar negativisht në programet që adresojnë dhunën me bazë gjinore, përfshirë dhunën kibernetike; sundimin e ligjit, ndihmën juridike dhe aksesin në drejtësi; angazhimin ekonomik dhe të drejtat e punës së grave; ndërtimin e koalicioneve; avokimin për politika; gratë, paqen dhe sigurinë; programet arsimore; të drejtat e grave të pakicave; të drejtat LGBTQI+; shëndetin riprodhues; të drejtat e grave me aftësi të kufizuara; pjesëmarrjen politike të grave; dhe programet mjedisore me përgjegjësi </w:t>
            </w:r>
            <w:r>
              <w:rPr>
                <w:rFonts w:ascii="Candara" w:eastAsia="Times New Roman" w:hAnsi="Candara" w:cs="Times New Roman"/>
                <w:sz w:val="18"/>
                <w:szCs w:val="18"/>
                <w:lang w:val="sq-AL"/>
              </w:rPr>
              <w:lastRenderedPageBreak/>
              <w:t>gjinore. Më shumë se 22 punonjës u larguan dhe 49 aktivistë/mbrojtës të të drejtave të njeriut reduktuan orët e punës. Për më tepër, OShC-të kanë raportuar se shkurtimet kanë kontribuar në stresin dhe/ose djegien profesionale të aktivistëve, gjë që rrezikon avokimin dhe punën e shoqërisë civile."</w:t>
            </w:r>
          </w:p>
        </w:tc>
        <w:tc>
          <w:tcPr>
            <w:tcW w:w="1468" w:type="dxa"/>
          </w:tcPr>
          <w:p w14:paraId="37455F1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7B5D231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Tendenca e reduktimit të financimit ndërkombëtar njihet si kontekst i rëndësishëm dhe pranohet si shtesë e nevojshme. Kjo do të shtohet në kontekst kur bëhet fjalë për qëndrueshmërinë financiare. Mirëpo do të shkurtohet për të ruajtur koherencën e tekstit dhe do të integrohet në kontekst.</w:t>
            </w:r>
          </w:p>
        </w:tc>
      </w:tr>
      <w:tr w:rsidR="00093E56" w14:paraId="4F52490B" w14:textId="77777777" w:rsidTr="00843505">
        <w:trPr>
          <w:trHeight w:val="3705"/>
        </w:trPr>
        <w:tc>
          <w:tcPr>
            <w:tcW w:w="618" w:type="dxa"/>
          </w:tcPr>
          <w:p w14:paraId="0EF6065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F5E95B2" w14:textId="411F9BB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versionin narrativ të Strategjisë) </w:t>
            </w:r>
          </w:p>
        </w:tc>
        <w:tc>
          <w:tcPr>
            <w:tcW w:w="2239" w:type="dxa"/>
          </w:tcPr>
          <w:p w14:paraId="3AA18FD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Propozohet të shtohet paragraf i ri: "Gjithashtu, ka ndryshime në ndihmë. WCSO-të kanë dhënë prova të gjera që mbështetja fleksibile dhe bazë kontribuon në ndikime dhe ndryshime më të mëdha. Megjithatë, shumica e donatorëve bilateralë kanë vendosur të lëvizin drejt financimeve më të kufizuara, afatshkurtra dhe të projektit. Si rezultat, OShC-të kanë barrë administrative më të madhe, duke shpenzuar më shumë kohë në aplikime financimi vetëm për të mbijetuar; kjo zvogëlon kohën që OShC-të mund të dedikojnë për shërbime, avokim, ndërtimin e aleancave dhe ndikimin në politika. Ndërkohë, organizatat më të vogla komunitare shpesh janë më të pozicionuara për të arritur grupet më të margjinalizuara me shërbime, vetëdijesim dhe më shumë, por ato hasin </w:t>
            </w:r>
            <w:r>
              <w:rPr>
                <w:rFonts w:ascii="Candara" w:eastAsia="Times New Roman" w:hAnsi="Candara" w:cs="Times New Roman"/>
                <w:sz w:val="18"/>
                <w:szCs w:val="18"/>
                <w:lang w:val="sq-AL"/>
              </w:rPr>
              <w:lastRenderedPageBreak/>
              <w:t>vështirësi në navigimin e proceseve komplekse të aplikimit në anglisht. Si rezultat, financimi rrjedh në mënyrë disproporcionale te organizatat më të mëdha dhe të konsoliduara."</w:t>
            </w:r>
          </w:p>
        </w:tc>
        <w:tc>
          <w:tcPr>
            <w:tcW w:w="1468" w:type="dxa"/>
          </w:tcPr>
          <w:p w14:paraId="63177A6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16BF98B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Tendenca e reduktimit të financimit ndërkombëtar njihet si kontekst i rëndësishëm dhe pranohet si shtesë e nevojshme. Kjo do të shtohet në kontekst kur bëhet fjalë për qëndrueshmërinë financiare. Mirëpo do të shkurtohet për të ruajtur koherencën e tekstit dhe do të integrohet në kontekst.</w:t>
            </w:r>
          </w:p>
        </w:tc>
      </w:tr>
      <w:tr w:rsidR="00093E56" w14:paraId="137C5070" w14:textId="77777777" w:rsidTr="00843505">
        <w:trPr>
          <w:trHeight w:val="2280"/>
        </w:trPr>
        <w:tc>
          <w:tcPr>
            <w:tcW w:w="618" w:type="dxa"/>
          </w:tcPr>
          <w:p w14:paraId="22C91D6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87A2CFF" w14:textId="0D1F5654"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versionin narrativ të Strategjisë) </w:t>
            </w:r>
          </w:p>
        </w:tc>
        <w:tc>
          <w:tcPr>
            <w:tcW w:w="2239" w:type="dxa"/>
          </w:tcPr>
          <w:p w14:paraId="221D030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fjalia "Ndërsa financimi publik është bërë gjithnjë e më i rëndësishëm, veçanërisht për organizatat më të vogla, mbështetja në grantet qeveritare paraqet rreziqe të natyrshme, duke përfshirë buxhete luhatëse dhe ndryshimin e prioriteteve politike." në: "Ndërsa financimi publik është bërë gjithnjë e më i rëndësishëm, veçanërisht për organizatat më të vogla, mbështetja në grantet qeveritare paraqet rreziqe të natyrshme, duke përfshirë buxhete luhatëse, buxhetet afatshkurtra dhe jokonsistente dhe ndryshimin e prioriteteve politike."</w:t>
            </w:r>
          </w:p>
        </w:tc>
        <w:tc>
          <w:tcPr>
            <w:tcW w:w="1468" w:type="dxa"/>
          </w:tcPr>
          <w:p w14:paraId="4E0A464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7B374C7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Shtesa "buxhetet afatshkurtra dhe jokonsistente" e plotëson listën e rreziqeve të mbështetjes në grantet qeveritare me një element konkret dhe të verifikueshëm. Formulimi riformulohet lehtë për të shmangur përsëritjen me elementet ekzistues të listës: "Ndërsa financimi publik është bërë gjithnjë e më i rëndësishëm, veçanërisht për organizatat më të vogla, mbështetja në grantet qeveritare paraqet rreziqe të natyrshme, duke përfshirë financim afatshkurtër, buxhete luhatëse dhe ndryshim të prioriteteve politike."</w:t>
            </w:r>
          </w:p>
        </w:tc>
      </w:tr>
      <w:tr w:rsidR="00093E56" w14:paraId="36BBC848" w14:textId="77777777" w:rsidTr="00843505">
        <w:trPr>
          <w:trHeight w:val="2280"/>
        </w:trPr>
        <w:tc>
          <w:tcPr>
            <w:tcW w:w="618" w:type="dxa"/>
          </w:tcPr>
          <w:p w14:paraId="232693F5"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A06EB7B" w14:textId="510E4D64"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versionin narrativ të Strategjisë) </w:t>
            </w:r>
          </w:p>
        </w:tc>
        <w:tc>
          <w:tcPr>
            <w:tcW w:w="2239" w:type="dxa"/>
          </w:tcPr>
          <w:p w14:paraId="1684A07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shtohet fjali e re: "Shkurtrimet e fundit të financimit të huaj rrezikojnë disa OShC, veçanërisht grupet për të drejtat e grave dhe të rinjtë; qeveria duhet të marrë përgjegjësi për financimin jo politik, afatgjatë të shoqërisë civile."</w:t>
            </w:r>
          </w:p>
        </w:tc>
        <w:tc>
          <w:tcPr>
            <w:tcW w:w="1468" w:type="dxa"/>
          </w:tcPr>
          <w:p w14:paraId="790D5D8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0C9215E" w14:textId="69F6CD19"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Strategjia do të marrë parasysh që një pjesë e OShC-ve, veçanërisht ato që punojnë me grupe vulnerabël, si të drejtat e grave, të rinjtë, personat me aftësi të kufizuara dhe komunitetet jo shumicë, janë në pozitë më vulnerabël financiarisht, sidomos në kontekstin e reduktimit të financimit ndërkombëtar. Qeveria ka përgjegjësi për dizajnimin e mekanizmave të financimit që marrin parasysh këtë realitet dhe që kontribuojnë në qëndrueshmërinë afatgjatë të OShC-ve. Kjo do të reflektohet në Objektivin Strategjik 2. </w:t>
            </w:r>
          </w:p>
          <w:p w14:paraId="0F11BE3C" w14:textId="77777777" w:rsidR="00093E56" w:rsidRDefault="00093E56">
            <w:pPr>
              <w:spacing w:line="276" w:lineRule="auto"/>
              <w:jc w:val="both"/>
              <w:rPr>
                <w:rFonts w:ascii="Candara" w:eastAsia="Times New Roman" w:hAnsi="Candara" w:cs="Times New Roman"/>
                <w:sz w:val="18"/>
                <w:szCs w:val="18"/>
                <w:lang w:val="sq-AL"/>
              </w:rPr>
            </w:pPr>
          </w:p>
        </w:tc>
      </w:tr>
      <w:tr w:rsidR="00093E56" w14:paraId="2BD53125" w14:textId="77777777" w:rsidTr="00843505">
        <w:trPr>
          <w:trHeight w:val="2565"/>
        </w:trPr>
        <w:tc>
          <w:tcPr>
            <w:tcW w:w="618" w:type="dxa"/>
          </w:tcPr>
          <w:p w14:paraId="5CFF4CB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9300604" w14:textId="4542D5BD"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versionin narrativ të Strategjisë) </w:t>
            </w:r>
          </w:p>
        </w:tc>
        <w:tc>
          <w:tcPr>
            <w:tcW w:w="2239" w:type="dxa"/>
          </w:tcPr>
          <w:p w14:paraId="52639DF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fjalia "Këto sfida nënvizojnë nevojën për një portofol të larmishëm financimi që përfshin donacione të huaja, dhurime individuale, kontribute të korporatave dhe mbështetje jo-financiare, siç janë ndarjet e pronave shtetërore për OSHC-të." në: "Këto sfida nënvizojnë nevojën për një portofol të larmishëm financimi që përfshin financim më të lartë qeveritar në shuma më të mëdha dhe të qëndrueshme, donacione të huaja, dhurime individuale, kontribute të korporatave dhe mbështetje jo-financiare, siç janë ndarjet e pronave shtetërore për OSHC-të."</w:t>
            </w:r>
          </w:p>
        </w:tc>
        <w:tc>
          <w:tcPr>
            <w:tcW w:w="1468" w:type="dxa"/>
          </w:tcPr>
          <w:p w14:paraId="52B1119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DFD5C9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Ideja e vendosjes së financimit publik si prioritet i parë në portofolin e financimit pranohet dhe është në linjë me angazhimet e Objektivit Strategjik 2. Formulimi riformulohet për të shmangur angazhime të papërcaktuara fiskale, duke mbajtur frymën e propozimit: "Këto sfida nënvizojnë nevojën për një portofol të larmishëm financimi që përfshin financim publik të qëndrueshëm dhe të parashikueshëm, donacione të huaja, dhurime individuale, kontribute të korporatave dhe mbështetje jo-financiare, siç janë ndarjet e pronave shtetërore për OSHC-të."</w:t>
            </w:r>
          </w:p>
        </w:tc>
      </w:tr>
      <w:tr w:rsidR="00093E56" w14:paraId="003A7962" w14:textId="77777777" w:rsidTr="00843505">
        <w:trPr>
          <w:trHeight w:val="2850"/>
        </w:trPr>
        <w:tc>
          <w:tcPr>
            <w:tcW w:w="618" w:type="dxa"/>
          </w:tcPr>
          <w:p w14:paraId="2CCB25B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871DB8F" w14:textId="3896A1D6"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versionin narrativ të Strategjisë) </w:t>
            </w:r>
          </w:p>
        </w:tc>
        <w:tc>
          <w:tcPr>
            <w:tcW w:w="2239" w:type="dxa"/>
          </w:tcPr>
          <w:p w14:paraId="1300B1C7" w14:textId="68890183"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shtohet në seksionin për filantropinë: "Megjithatë, Ligji për Tatimin mbi të Ardhurat e Korporatave ka një përkufizim më të ngushtë të 'interesit publik' krahasuar me 'përfitimin publik' të Ligjit për OJQ-të. Si rezultat, donacionet për kauza si të drejtat e njeriut dhe të grave nuk janë të zbritshëm nga tatimi për donatorët korporativë." Gjithashtu, RrGK dhe OShC të tjera kanë rekomanduar zgjerimin e përkufizimit të "interesit publik" në Ligjin për Tatimin mbi të Ardhurat e Korporatave, në mënyrë që të përputhet me përkufizimin e "përfitimit publik" në Ligjin për OJQ-të, për të nxitur donacionet drejt një game më të gjerë iniciativash, përfshirë edhe ato që lidhen me të drejtat e grave.</w:t>
            </w:r>
          </w:p>
        </w:tc>
        <w:tc>
          <w:tcPr>
            <w:tcW w:w="1468" w:type="dxa"/>
          </w:tcPr>
          <w:p w14:paraId="1CB0D4F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6E5FD7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Mospërputhja juridike ndërmjet përkufizimit të "interesit publik" në Ligjin për Tatimin mbi të Ardhurat e Korporatave dhe "përfitimit publik" në Ligjin për OJQ-të pranohet si boshllëk relevant për seksionin e filantropisë. Shtesa e parë që dokumenton pasojën praktike të kësaj mospërputhje integrohet në tekst. </w:t>
            </w:r>
          </w:p>
        </w:tc>
      </w:tr>
      <w:tr w:rsidR="00093E56" w14:paraId="0854B964" w14:textId="77777777" w:rsidTr="00843505">
        <w:trPr>
          <w:trHeight w:val="1995"/>
        </w:trPr>
        <w:tc>
          <w:tcPr>
            <w:tcW w:w="618" w:type="dxa"/>
          </w:tcPr>
          <w:p w14:paraId="5E4F575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4D60A3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4253640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shtohet në seksionin për filantropinë: "Për shkak se Ligji për Sponsorizime ofron zbritje më të larta tatimore për donacionet në sport, kulturë dhe rini, këto fusha mund të tërheqin stimuj më të fortë për donatorët krahasuar me kauza të tjera, duke krijuar një peizazh jo të barabartë të mbledhjes së fondeve për OShC-të."</w:t>
            </w:r>
          </w:p>
        </w:tc>
        <w:tc>
          <w:tcPr>
            <w:tcW w:w="1468" w:type="dxa"/>
          </w:tcPr>
          <w:p w14:paraId="1432592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A92445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mbi disparitetin e stimujve tatimorë ndërmjet Ligjit për Sponsorizime dhe legjislacionit të përgjithshëm tatimor pranohet si gjetje e verifikueshme dhe relevante për seksionin e filantropisë. Formulimi riformulohet: "Ligji për Sponsorizime ofron zbritje tatimore më të favorshme për donacionet në fushën e sportit, kulturës dhe rinisë, gjë që mund të ndikojë në drejtimin e kontributeve private drejt këtyre fushave në krahasim me fusha të tjera të shoqërisë civile."</w:t>
            </w:r>
          </w:p>
        </w:tc>
      </w:tr>
      <w:tr w:rsidR="00093E56" w14:paraId="0914785A" w14:textId="77777777" w:rsidTr="00843505">
        <w:trPr>
          <w:trHeight w:val="3420"/>
        </w:trPr>
        <w:tc>
          <w:tcPr>
            <w:tcW w:w="618" w:type="dxa"/>
          </w:tcPr>
          <w:p w14:paraId="3558E78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EB5FFD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7252CA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fjalia "Ndërsa OShC-të kanë dëshmuar kapacitetin e tyre për të adresuar nevojat e shoqërisë përmes shërbimeve të ndryshme—përfshirë edukimin, shëndetësinë, mbështetjen ligjore dhe fuqizimin e komuniteteve—mungesa e një kuadri të qartë ligjor për kontraktimin e këtyre shërbimeve pengon aftësinë e tyre për të funksionuar në mënyrë efektive dhe për t'iu përgjigjur nevojave të komunitetit." në: "Ndërsa OShC-të kanë dëshmuar kapacitetin e tyre për të adresuar nevojat e shoqërisë përmes shërbimeve të ndryshme—përfshirë edukimin, shëndetësinë, mbështetjen ligjore, strehimin, kujdesin për persona me nevoja të veçanta dhe fuqizimin e komuniteteve—mungesa e një kuadri të qartë ligjor për kontraktimin e këtyre shërbimeve pengon aftësinë e tyre për të funksionuar në mënyrë efektive dhe për t'iu përgjigjur nevojave të komunitetit."</w:t>
            </w:r>
          </w:p>
        </w:tc>
        <w:tc>
          <w:tcPr>
            <w:tcW w:w="1468" w:type="dxa"/>
          </w:tcPr>
          <w:p w14:paraId="082FEAE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3154462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Shtesa e "strehimit" dhe "kujdesit për persona me nevoja të veçanta" në listën e shërbimeve të ofruara nga OShC-të pranohet si plotësim faktik dhe i nevojshëm i listës ekzistuese. </w:t>
            </w:r>
          </w:p>
        </w:tc>
      </w:tr>
      <w:tr w:rsidR="00093E56" w14:paraId="7A66BE8B" w14:textId="77777777" w:rsidTr="00843505">
        <w:trPr>
          <w:trHeight w:val="1710"/>
        </w:trPr>
        <w:tc>
          <w:tcPr>
            <w:tcW w:w="618" w:type="dxa"/>
          </w:tcPr>
          <w:p w14:paraId="7159C5E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C0AD58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66AECAB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pika 4 e analizës SWOT (Përparësitë) nga "Në përgjithësi, OShC-të kanë qasje në disa burime financimi, duke përfshirë grantet ndërkombëtare, donacionet lokale dhe kontratat qeveritare." në: "Në përgjithësi, OShC-të kanë qasje në disa burime financimi, duke përfshirë grantet ndërkombëtare, donacionet lokale dhe kontratat qeveritare, edhe pse këto janë zvogëluar së fundi."</w:t>
            </w:r>
          </w:p>
        </w:tc>
        <w:tc>
          <w:tcPr>
            <w:tcW w:w="1468" w:type="dxa"/>
          </w:tcPr>
          <w:p w14:paraId="5AA31E6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3ED1318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Shtesa "edhe pse këto burime janë zvogëluar ndjeshëm gjatë viteve të fundit" integrohet në pikën 4 të SWOT-it (Përparësitë), duke e bërë vlerësimin më të saktë dhe në linjë me kontekstin e pranuar në seksionin e qëndrueshmërisë financiare.</w:t>
            </w:r>
          </w:p>
        </w:tc>
      </w:tr>
      <w:tr w:rsidR="00093E56" w14:paraId="4A0F1590" w14:textId="77777777" w:rsidTr="00843505">
        <w:trPr>
          <w:trHeight w:val="3135"/>
        </w:trPr>
        <w:tc>
          <w:tcPr>
            <w:tcW w:w="618" w:type="dxa"/>
          </w:tcPr>
          <w:p w14:paraId="52A8CFE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13CE96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08D2BA0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pika 1 e analizës SWOT (Kërcënimet) nga "Mjedisi më i gjerë politik në Ballkanin Perëndimor përbën një kërcënim, pasi tensionet politike dhe zvogëlimi i hapësirës qytetare mund të minojnë efektivitetin dhe sigurinë e OSHC-ve." në: "Mjedisi më i gjerë politik në Ballkanin Perëndimor përbën një kërcënim, pasi tensionet politike dhe zvogëlimi i hapësirës qytetare mund të minojnë efektivitetin dhe sigurinë e OSHC-ve; organizatat për të drejtat e grave dhe LGBTQI+ përballen veçanërisht me kërcënime nga lëvizja anti-gjinore dhe, lidhur me këtë, me ndryshimet në prioritetet e financimit nga donatorët."</w:t>
            </w:r>
          </w:p>
        </w:tc>
        <w:tc>
          <w:tcPr>
            <w:tcW w:w="1468" w:type="dxa"/>
          </w:tcPr>
          <w:p w14:paraId="1737A5C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CE00AE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Kërcënimi specifik ndaj organizatave që punojnë për të drejtat e grave dhe grupeve të margjinalizuara, i lidhur me zhvillimet politike rajonale dhe ndryshimet në prioritetet e financimit ndërkombëtar, pranohet si kërcënim i veçantë dhe i verifikueshëm. Shtohet si pikë e re në analizën SWOT (Kërcënimet): "Organizatat që punojnë për të drejtat e grave dhe grupeve të margjinalizuara përballen me kërcënime të shtuar nga zhvillimet politike rajonale dhe ndryshimet në prioritetet e financimit ndërkombëtar, gjë që rrezikon qëndrueshmërinë e tyre financiare dhe hapësirën e tyre operative." Terminologjia riformulohet për të ruajtur karakterin institucional të dokumentit.</w:t>
            </w:r>
          </w:p>
        </w:tc>
      </w:tr>
      <w:tr w:rsidR="00093E56" w14:paraId="397A238B" w14:textId="77777777" w:rsidTr="00843505">
        <w:trPr>
          <w:trHeight w:val="2565"/>
        </w:trPr>
        <w:tc>
          <w:tcPr>
            <w:tcW w:w="618" w:type="dxa"/>
          </w:tcPr>
          <w:p w14:paraId="3FBB006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40AD65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2ECCC10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Propozohet të ndryshohet pika 9 e analizës SWOT (Kërcënimet) nga "Paqëndrueshmëria ekonomike mund të kufizojë burimet e disponueshme për OSHC-të për të mbështetur dhe promovuar programet vullnetare, duke ndikuar në qëndrueshmërinë e tyre." në: "Paqëndrueshmëria ekonomike mund të kufizojë burimet e disponueshme për OSHC-të për të mbështetur dhe promovuar programet vullnetare, duke ndikuar në qëndrueshmërinë e tyre dhe ndryshimet në prioritetet e donatorëve."</w:t>
            </w:r>
          </w:p>
        </w:tc>
        <w:tc>
          <w:tcPr>
            <w:tcW w:w="1468" w:type="dxa"/>
          </w:tcPr>
          <w:p w14:paraId="0016476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71BEA2D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Shtesa mbi ndryshimet në prioritetet e donatorëve ndërkombëtarë pranohet si element relevant dhe në linjë me vendime të mëparshme. Formulimi riformulohet për të ruajtur koherencën e pikës ekzistuese: "Paqëndrueshmëria ekonomike dhe ndryshimet në prioritetet e donatorëve ndërkombëtarë mund të kufizojnë burimet e disponueshme për OShC-të, duke ndikuar në qëndrueshmërinë e tyre dhe aftësinë për të mbështetur programet vullnetare." Kjo pasqyron ekosistemi aktual të financimit të shoqërisë civile.</w:t>
            </w:r>
          </w:p>
        </w:tc>
      </w:tr>
      <w:tr w:rsidR="00093E56" w14:paraId="4468795D" w14:textId="77777777" w:rsidTr="00843505">
        <w:trPr>
          <w:trHeight w:val="2565"/>
        </w:trPr>
        <w:tc>
          <w:tcPr>
            <w:tcW w:w="618" w:type="dxa"/>
          </w:tcPr>
          <w:p w14:paraId="1DB2625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F736B1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69E00FC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Koment i RrGK-së për Objektivin Strategjik 1 (veprimet për përfshirjen e qytetarëve në konsultime): "Ne sugjerojmë të përfshihen burime për të mbështetur angazhimin. Nëse OShC-të nuk kanë fonde ose paga, si mund të kenë kohë dhe mundësi për t'u angazhuar?"</w:t>
            </w:r>
          </w:p>
        </w:tc>
        <w:tc>
          <w:tcPr>
            <w:tcW w:w="1468" w:type="dxa"/>
          </w:tcPr>
          <w:p w14:paraId="53C9DE2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025CFD2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Shqetësimi i ngritur mbi kapacitetin e kufizuar të OShC-ve për t'u angazhuar kuptimplotë në proceset e konsultimit është i njohur dhe i vlefshëm. Megjithatë, financimi i drejtpërdrejtë i OShC-ve për pjesëmarrje në konsultime bie jashtë fushëveprimit të Objektivit Strategjik 1, i cili fokusohet në mjedisin procedural dhe institucional të konsultimit. Mbështetja financiare për kapacitetin e OShC-ve adresohet nëpërmjet Objektivit Strategjik 2, i cili parasheh mekanizma të financimit që marrin parasysh nevojat e organizatave me burime të kufizuara.</w:t>
            </w:r>
          </w:p>
        </w:tc>
      </w:tr>
      <w:tr w:rsidR="00093E56" w14:paraId="0ED51C52" w14:textId="77777777" w:rsidTr="00843505">
        <w:trPr>
          <w:trHeight w:val="2565"/>
        </w:trPr>
        <w:tc>
          <w:tcPr>
            <w:tcW w:w="618" w:type="dxa"/>
          </w:tcPr>
          <w:p w14:paraId="7704C77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D65198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7A919FF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Koment i RrGK-së për monitorimin dhe vlerësimin e projekteve të financuara publikisht: "Monitorimi dhe vlerësimi i projekteve të zbatuara të bëhet me fokus në ndërtimin e indikatorëve specifik të cilët masin përfshirjen e grave dhe vajzave në mesin e përfituesëve të projekteve, si dhe të grupeve të tjera të margjinalizuara."</w:t>
            </w:r>
          </w:p>
        </w:tc>
        <w:tc>
          <w:tcPr>
            <w:tcW w:w="1468" w:type="dxa"/>
          </w:tcPr>
          <w:p w14:paraId="3FB2C8F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48D42D2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Kërkesa për indikatorë monitorimi që masin përfshirjen e grave, vajzave dhe grupeve të margjinalizuara në mesin e përfituesve të projekteve të financuara publikisht pranohet. Ajo mbështetet si në Ligjin për Barazinë Gjinore, i cili kërkon zbërthimin e të dhënave sipas gjinisë në planifikimin dhe vlerësimin e fondeve publike, ashtu edhe në Rregulloren MF Nr. 04/2017, e cila e parasheh gjithë përfshirjen gjinore të përfituesve si parim themelor të financimit publik të OJQ-ve (Neni 1.2). Kjo do të reflektohet në kornizën e monitorimit të Objektivit Strategjik 2.</w:t>
            </w:r>
          </w:p>
        </w:tc>
      </w:tr>
      <w:tr w:rsidR="00093E56" w14:paraId="17561F20" w14:textId="77777777" w:rsidTr="00843505">
        <w:trPr>
          <w:trHeight w:val="2280"/>
        </w:trPr>
        <w:tc>
          <w:tcPr>
            <w:tcW w:w="618" w:type="dxa"/>
          </w:tcPr>
          <w:p w14:paraId="20AC1F8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642383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3572617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platformën qendrore online për financimin publik: "Këtu duhet të përfshihen të dhënat e ndara sipas gjinisë në linjë me Ligjin për Barazi Gjinore."</w:t>
            </w:r>
          </w:p>
        </w:tc>
        <w:tc>
          <w:tcPr>
            <w:tcW w:w="1468" w:type="dxa"/>
          </w:tcPr>
          <w:p w14:paraId="00126F9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5E4EFD3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Shtesa pranohet dhe mbështetet në Ligjin Nr. 05/L-020 për Barazi Gjinore (Neni 5, paragrafi 1.8). Strategjia tashmë parasheh avancimin e platformës qendrore online për financimin publik me funksione të shtuara për monitorim dhe transparencë (SO2). Kërkesa e RrGK-së e konkretizuar në integrimin e të dhënave të ndara sipas gjinisë është në vijim të drejtpërdrejtë të këtij angazhimi dhe të detyrimeve ligjore ekzistuese.</w:t>
            </w:r>
          </w:p>
        </w:tc>
      </w:tr>
      <w:tr w:rsidR="00093E56" w14:paraId="56505BE8" w14:textId="77777777" w:rsidTr="00843505">
        <w:trPr>
          <w:trHeight w:val="1160"/>
        </w:trPr>
        <w:tc>
          <w:tcPr>
            <w:tcW w:w="618" w:type="dxa"/>
          </w:tcPr>
          <w:p w14:paraId="5DF4C97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2E0E47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58A8AE9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përshkrimi i ndërhyrjes së dytë në Objektivin Strategjik 2 (fondi për bashkëfinancim) në: "Ndërhyrja e dytë në këtë objektiv do të fokusohet në vendosjen e një linje të qartë buxhetore për financimin nga qeveria i OShC-ve. Prioritetet për financim do të përcaktohen bazuar në analizë, duke përfshirë analizën gjinore, dhe në konsultim me organizata të ndryshme të shoqërisë civile. Fondet do të shpërndahen përmes një procesi transparent, të bashkë-krijuar me OShC-të dhe me mbikëqyrje nga OShC-të për të parandaluar politizimin e mundshëm. Fondet do të përfshijnë buxhetim të përgjegjshëm gjinor, do të jenë afatgjata dhe mund të përfshijnë mbështetje bazë për OShC-të me një histori të provuar ndikimi në ndryshim."</w:t>
            </w:r>
          </w:p>
        </w:tc>
        <w:tc>
          <w:tcPr>
            <w:tcW w:w="1468" w:type="dxa"/>
          </w:tcPr>
          <w:p w14:paraId="5A3E09F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911AE1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Elementet thelbësore të propozimit, transparenca, konsultimi me OShC-të, buxhetimi i përgjegjshëm gjinor dhe para shikueshmëria e financimit pranohen si parime të rëndësishme. Disa prej tyre tashmë janë të përfshira në Rregulloren MF Nr. 04/2017. Shtimi i një objektivi strategjik të ri nuk pranohet në këtë fazë. Tekstin e Objektivit Specifik 2.1 do të rishikohet për të integruar më qartë parimet e propozuara nga RrGK. </w:t>
            </w:r>
          </w:p>
        </w:tc>
      </w:tr>
      <w:tr w:rsidR="00093E56" w14:paraId="5106D033" w14:textId="77777777" w:rsidTr="00843505">
        <w:trPr>
          <w:trHeight w:val="1425"/>
        </w:trPr>
        <w:tc>
          <w:tcPr>
            <w:tcW w:w="618" w:type="dxa"/>
          </w:tcPr>
          <w:p w14:paraId="63E2ABE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9EA520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7D58BEF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"Ndërhyrja e dytë" në "Objektivi i tretë" për bashkëfinancimin e projekteve të BE-së dhe donatorëve të tjerë, duke e lënë tekstin ekzistues të pandryshuar por duke e riorganizuar si objektiv të veçantë.</w:t>
            </w:r>
          </w:p>
        </w:tc>
        <w:tc>
          <w:tcPr>
            <w:tcW w:w="1468" w:type="dxa"/>
          </w:tcPr>
          <w:p w14:paraId="50A2D1F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15DA81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Propozimi për riemërtim buron nga kërkesa e mëparshme për shtimin e një objektivi të ri strategjik specifik, e cila nuk është pranuar. Meqenëse objektivi i ri nuk shtohet, nuk ka nevojë për riindeksim dhe ndërhyrja e dytë mbetet e pandryshuar në strukturën ekzistuese.</w:t>
            </w:r>
          </w:p>
        </w:tc>
      </w:tr>
      <w:tr w:rsidR="00093E56" w14:paraId="02FFE093" w14:textId="77777777" w:rsidTr="00843505">
        <w:trPr>
          <w:trHeight w:val="2280"/>
        </w:trPr>
        <w:tc>
          <w:tcPr>
            <w:tcW w:w="618" w:type="dxa"/>
          </w:tcPr>
          <w:p w14:paraId="0D6E1DC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47A232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6CA4702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fund të paragrafit për mbështetjen jofinanciare (hapësirat publike për OShC-të): "Për këto hapësira, komuna do të mund t'i përfshinte shpenzimet operuese dhe kosto të tjera direkte."</w:t>
            </w:r>
          </w:p>
        </w:tc>
        <w:tc>
          <w:tcPr>
            <w:tcW w:w="1468" w:type="dxa"/>
          </w:tcPr>
          <w:p w14:paraId="7B6F7D3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F23299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Vendimi për përfshirjen e shpenzimeve operuese për hapësirat e dhëna OShC-ve është kompetencë ekskluzive e komunave, në përputhje me parimin e vetëqeverisjes lokale të garantuar me Ligjin për Vetëqeverisjen Lokale. Qeveria qendrore nuk mund t'u imponojë komunave detyrime shpenzimi në kuadër të pronave komunale të dhëna në shfrytëzim. Strategjia mund të inkurajojë praktika të mira në këtë drejtim, por jo të vendosë detyrime.</w:t>
            </w:r>
          </w:p>
        </w:tc>
      </w:tr>
      <w:tr w:rsidR="00093E56" w14:paraId="37C5F3C0" w14:textId="77777777" w:rsidTr="00843505">
        <w:trPr>
          <w:trHeight w:val="1710"/>
        </w:trPr>
        <w:tc>
          <w:tcPr>
            <w:tcW w:w="618" w:type="dxa"/>
          </w:tcPr>
          <w:p w14:paraId="2D5722F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2E56D7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36A487B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filantropinë dhe regjimin tatimor: "Në veçanti, kjo duhet të zbatohet për OShC-të që mbështesin të drejtat e grave, personat me aftësi të kufizuara dhe personat LGBTQI+, ndër të tjerët."</w:t>
            </w:r>
          </w:p>
        </w:tc>
        <w:tc>
          <w:tcPr>
            <w:tcW w:w="1468" w:type="dxa"/>
          </w:tcPr>
          <w:p w14:paraId="60F7D83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F2DB6A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nuk është instrumenti i duhur për të përcaktuar cilat grupe ose kauza duhet të trajtohen preferencialisht në kuadrin tatimor. Kjo është kompetencë e legjislacionit tatimor. Zgjerimi i bazës së stimujve tatimorë për filantropinë adresohet si angazhim i përgjithshëm në SO2, pa specifikuar kategori të veçanta përfituesish.</w:t>
            </w:r>
          </w:p>
        </w:tc>
      </w:tr>
      <w:tr w:rsidR="00093E56" w14:paraId="1AB03C7B" w14:textId="77777777" w:rsidTr="00843505">
        <w:trPr>
          <w:trHeight w:val="1710"/>
        </w:trPr>
        <w:tc>
          <w:tcPr>
            <w:tcW w:w="618" w:type="dxa"/>
          </w:tcPr>
          <w:p w14:paraId="4024CB9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EA42F1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5BAF2BC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titulli "Objektivi Specifik 2.1. Mekanizma të avancuar për zbatimin e duhur të financimit publik të OShC-ve" në: "Objektivi Specifik 2.1. Mekanizma të avancuar për zbatimin e duhur të financimit publik të OShC-ve të ndryshme."</w:t>
            </w:r>
          </w:p>
        </w:tc>
        <w:tc>
          <w:tcPr>
            <w:tcW w:w="1468" w:type="dxa"/>
          </w:tcPr>
          <w:p w14:paraId="6A2FEB8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4B6C742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Shtesa "të ndryshme" në titull nuk shton vlerë substantive për përshkrimin e objektivit dhe e bën titullin më pak preciz. Parimi i diversitetit të OShC-ve dhe nevojave të tyre të ndryshme reflektohet në tekstin e objektivit dhe në angazhimet e pranuara në rreshtat e mëparshëm. Titujt e objektivave specifike duhet të jenë konciz dhe të përshkruajnë qartë fushëveprimin e ndërhyrjes.</w:t>
            </w:r>
          </w:p>
        </w:tc>
      </w:tr>
      <w:tr w:rsidR="00093E56" w14:paraId="0933FC01" w14:textId="77777777" w:rsidTr="00843505">
        <w:trPr>
          <w:trHeight w:val="1995"/>
        </w:trPr>
        <w:tc>
          <w:tcPr>
            <w:tcW w:w="618" w:type="dxa"/>
          </w:tcPr>
          <w:p w14:paraId="760D056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C94847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8AB0A2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titulli "Objektivi Specifik 2.2. Janë eksploruar mundësitë për krijimin e një fondi për bashkëfinancimin e projekteve të BE-së dhe donatorëve të tjerë." në: "Objektivi Specifik 2.2. Janë eksploruar mundësitë për krijimin e financimit qeveritar për OShC të ndryshme, duke përfshirë edhe bashkëfinancimin e projekteve të BE-së dhe donatorëve të tjerë." Koment shtesë i RrGK-së: "Kjo duhet të jetë një angazhim më i fortë dhe të përfshijë financim më të gjerë nga qeveria, përveç pjesëve të kostove."</w:t>
            </w:r>
          </w:p>
        </w:tc>
        <w:tc>
          <w:tcPr>
            <w:tcW w:w="1468" w:type="dxa"/>
          </w:tcPr>
          <w:p w14:paraId="74B2095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6D1CE96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Propozimi e zgjedhon të njëjtën çështje të ngritur në paragrafin , zgjerimi i bashkëfinancimit në një objektiv më të gjerë të financimit qeveritar të OShC-ve. Meqenëse shtimi i një objektivi të ri specifik nuk është pranuar, ndryshimi i titullit të OS 2.2 në këtë drejtim nuk pranohet. Titulli ekzistues përshkruan saktë fushëveprimin e ndërhyrjes së planifikuar.</w:t>
            </w:r>
          </w:p>
        </w:tc>
      </w:tr>
      <w:tr w:rsidR="00093E56" w14:paraId="5E26C588" w14:textId="77777777" w:rsidTr="00843505">
        <w:trPr>
          <w:trHeight w:val="1425"/>
        </w:trPr>
        <w:tc>
          <w:tcPr>
            <w:tcW w:w="618" w:type="dxa"/>
          </w:tcPr>
          <w:p w14:paraId="2A575A2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42A4EF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1623B6B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titulli "Objektivi Specifik 2.3. Përmirësimi i mbështetjes jo financiare për OShC-të" në: "Objektivi Specifik 2.3. Përmirësimi i mbështetjes jo financiare për OShC-të të ndryshme."</w:t>
            </w:r>
          </w:p>
        </w:tc>
        <w:tc>
          <w:tcPr>
            <w:tcW w:w="1468" w:type="dxa"/>
          </w:tcPr>
          <w:p w14:paraId="7326513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2007968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Për të njëjtat arsye, shtesa "të ndryshme" nuk shton vlerë substantive për titullin e objektivit dhe nuk pranohet. Diversiteti i OShC-ve reflektohet në tekstin e strategjisë dhe në angazhimet e pranuara, jo në titujt e objektivave specifike.</w:t>
            </w:r>
          </w:p>
        </w:tc>
      </w:tr>
      <w:tr w:rsidR="00093E56" w14:paraId="1F2468BB" w14:textId="77777777" w:rsidTr="00843505">
        <w:trPr>
          <w:trHeight w:val="1995"/>
        </w:trPr>
        <w:tc>
          <w:tcPr>
            <w:tcW w:w="618" w:type="dxa"/>
          </w:tcPr>
          <w:p w14:paraId="1074E25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F1C586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2D78731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titulli "Objektivi Specifik 2.4. Rritja e Filantropisë (dhënies individuale dhe korporative) dhe përmirësimi i bashkëpunimit ndërmjet OShC-ve dhe sektorit të biznesit" në: "Objektivi Specifik 2.4. Kuadri ligjor i përmirësuar për të lehtësuar filantropinë e shtuar (dhurimet individuale dhe korporative) dhe për të përmirësuar bashkëpunimin midis OShC-ve dhe sektorit të biznesit." Koment shtesë i RrGK-së: "Kjo duhet të jetë fokus i qeverisë."</w:t>
            </w:r>
          </w:p>
        </w:tc>
        <w:tc>
          <w:tcPr>
            <w:tcW w:w="1468" w:type="dxa"/>
          </w:tcPr>
          <w:p w14:paraId="00E3DCA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09494F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Riformulimi i titullit nga "Rritja e Filantropisë" në "Kuadri ligjor i përmirësuar për të lehtësuar filantropinë" pranohet si ndryshim që e bën titullin më të saktë, strategjia vepron nëpërmjet kuadrit rregullator dhe ligjor, jo drejtpërdrejt mbi nivelin e filantropisë. Formulimi i ri: "Objektivi Specifik 2.4. Kuadër ligjor i përmirësuar për lehtësimin e filantropisë dhe bashkëpunimit ndërmjet OShC-ve dhe sektorit të biznesit."</w:t>
            </w:r>
          </w:p>
        </w:tc>
      </w:tr>
      <w:tr w:rsidR="00093E56" w14:paraId="1348D080" w14:textId="77777777" w:rsidTr="00843505">
        <w:trPr>
          <w:trHeight w:val="2565"/>
        </w:trPr>
        <w:tc>
          <w:tcPr>
            <w:tcW w:w="618" w:type="dxa"/>
          </w:tcPr>
          <w:p w14:paraId="52D2A36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5D4701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71DD77A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Koment i RrGK-së për Objektivin Strategjik 3 (kontraktimi i OShC-ve për shërbime publike): "Duke konsideruar që organizatat e shoqërisë civile në Kosovë të cilat kanë në fokus mbrojtjen dhe përmirësimin e barazisë gjinore luajnë një rol kyç në ofrimin e shërbimeve sociale në fusha të ndjeshme si në strehimin e viktimave të dhunës me bazë gjinore, përfaqësimin ligjor të tyre, pastaj përfaqësimin e grave dhe burrave me aftësi të kufizuar, atëherë kjo Strategji rekomandohet të fokusohet specifikisht në krijimin e mekanizmave për avokim për financim afatgjatë të shërbimeve sociale të cilat ofrohen nga llojet e organizatave të përmendura më lartë."</w:t>
            </w:r>
          </w:p>
        </w:tc>
        <w:tc>
          <w:tcPr>
            <w:tcW w:w="1468" w:type="dxa"/>
          </w:tcPr>
          <w:p w14:paraId="584506C8"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B2205E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Roli kyç i OShC-ve në ofrimin e shërbimeve sociale në fusha të ndjeshme,  si strehimi i viktimave të dhunës me bazë gjinore, përfaqësimi ligjor dhe shërbimet për personat me aftësi të kufizuara, njihet dhe reflektohet në tekstin ekzistues të SO3. Nevoja për mekanizma financimi afatgjatë për këto shërbime pranohet si parim i rëndësishëm dhe do të integrohet në tekstin e SO3, duke theksuar se kontraktimi i shërbimeve duhet të garantojë vazhdimësi dhe para shikueshmëri financiare, veçanërisht për shërbimet që mbulojnë nevoja të vazhdueshme të grupeve të cenueshme.</w:t>
            </w:r>
          </w:p>
        </w:tc>
      </w:tr>
      <w:tr w:rsidR="00093E56" w14:paraId="6C2F3194" w14:textId="77777777" w:rsidTr="00843505">
        <w:trPr>
          <w:trHeight w:val="1995"/>
        </w:trPr>
        <w:tc>
          <w:tcPr>
            <w:tcW w:w="618" w:type="dxa"/>
          </w:tcPr>
          <w:p w14:paraId="6B737BD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863C46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367335E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fjalia "OShC-të duhet të mbështeten në aftësinë e tyre për të ofruar një gamë të gjerë shërbimesh, duke përfshirë shërbime sociale dhe programe të fokusuara në arsim, kujdes shëndetësor, strehim, mirëqenie sociale, kulturë, etj." në: "OShC-të duhet të mbështeten në aftësinë e tyre për të ofruar një gamë të gjerë shërbimesh, duke përfshirë shërbime sociale dhe programe të fokusuara në arsim, kujdes shëndetësor, strehim, mirëqenie sociale, kulturë, shërbime sociale, etj."</w:t>
            </w:r>
          </w:p>
        </w:tc>
        <w:tc>
          <w:tcPr>
            <w:tcW w:w="1468" w:type="dxa"/>
          </w:tcPr>
          <w:p w14:paraId="7CE6DFF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402BD24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Fjala "shërbime sociale" është tashmë e pranishme në fillim të listës ekzistuese.</w:t>
            </w:r>
          </w:p>
        </w:tc>
      </w:tr>
      <w:tr w:rsidR="00093E56" w14:paraId="625F8177" w14:textId="77777777" w:rsidTr="00843505">
        <w:trPr>
          <w:trHeight w:val="1425"/>
        </w:trPr>
        <w:tc>
          <w:tcPr>
            <w:tcW w:w="618" w:type="dxa"/>
          </w:tcPr>
          <w:p w14:paraId="698DECA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4BCC67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5916B07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ndryshimin e legjislacionit për ofrimin e shërbimeve publike nga OShC-të: "Kjo duhet të bëhet përmes një procesi konsultativ që përfshin organizata të ndryshme të shoqërisë civile, përfshirë ato që përfaqësojnë gratë dhe grupet e margjinalizuara, me qëllim sigurimin e ndryshimeve gjithëpërfshirëse."</w:t>
            </w:r>
          </w:p>
        </w:tc>
        <w:tc>
          <w:tcPr>
            <w:tcW w:w="1468" w:type="dxa"/>
          </w:tcPr>
          <w:p w14:paraId="567D0BB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16374BB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Kërkesa për proces konsultativ gjithëpërfshirës në hartimin e legjislacionit për kontraktimin e shërbimeve publike pranohet si parim i rëndësishëm dhe mbështetet në Rregulloren 17/2024. Formulimi nuk shtohet verbatim por do të integrohet në tekstin e SO3 si angazhim për konsultim të gjerë dhe gjithëpërfshirës në procesin e hartimit të legjislacionit.</w:t>
            </w:r>
          </w:p>
        </w:tc>
      </w:tr>
      <w:tr w:rsidR="00093E56" w14:paraId="721195BE" w14:textId="77777777" w:rsidTr="00843505">
        <w:trPr>
          <w:trHeight w:val="2565"/>
        </w:trPr>
        <w:tc>
          <w:tcPr>
            <w:tcW w:w="618" w:type="dxa"/>
          </w:tcPr>
          <w:p w14:paraId="04F6ACF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0656477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36FF670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trajnimin e stafit për zbatimin e rregulloreve të reja: "Kjo duhet të përfshijë udhëzime dhe trajnime mbi buxhetimin e përgjegjshëm gjinor në përputhje me Ligjin për Barazinë Gjinore, duke përfshirë mënyrën e kryerjes së kostimit të duhur të shërbimeve specifike për të siguruar që fondet e alokuara janë në përputhje me nevojat reale (p.sh., të viktimave të dhunës me bazë </w:t>
            </w:r>
            <w:r>
              <w:rPr>
                <w:rFonts w:ascii="Candara" w:eastAsia="Times New Roman" w:hAnsi="Candara" w:cs="Times New Roman"/>
                <w:sz w:val="18"/>
                <w:szCs w:val="18"/>
                <w:lang w:val="sq-AL"/>
              </w:rPr>
              <w:lastRenderedPageBreak/>
              <w:t>gjinore dhe grupeve të tjera të cenueshme)."</w:t>
            </w:r>
          </w:p>
        </w:tc>
        <w:tc>
          <w:tcPr>
            <w:tcW w:w="1468" w:type="dxa"/>
          </w:tcPr>
          <w:p w14:paraId="7F1F90F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79093A6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Përfshirja e udhëzimeve dhe trajnimeve mbi buxhetimin e përgjegjshëm gjinor në programet e trajnimit të stafit për zbatimin e rregulloreve të reja pranohet dhe mbështetet në Ligjin Nr. 05/L-020 për Barazi Gjinore (Neni 5, paragrafi 1.5), i cili e parasheh buxhetimin gjinor si instrument të detyrueshëm në të gjitha fushat. Formulimi do të integrohet në tekstin e SO3 si element i trajnimit të stafit, pa e vendosur shembullin specifik verbatim, por duke ruajtur logjikën e kostimit të duhur të shërbimeve për grupe vulnerabël.</w:t>
            </w:r>
          </w:p>
        </w:tc>
      </w:tr>
      <w:tr w:rsidR="00093E56" w14:paraId="306A14D2" w14:textId="77777777" w:rsidTr="00843505">
        <w:trPr>
          <w:trHeight w:val="2850"/>
        </w:trPr>
        <w:tc>
          <w:tcPr>
            <w:tcW w:w="618" w:type="dxa"/>
          </w:tcPr>
          <w:p w14:paraId="27AA99A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6D475D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2FBA072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Katalogun e llojeve të shërbimeve: "Kjo duhet të përfshijë, por pa u kufizuar vetëm në shërbime të tilla si: mbrojtja dhe mbështetja e viktimave të dhunës me bazë gjinore sipas Konventës së Stambollit dhe integrimi i grave dhe vajzave nga komunitetet e margjinalizuara."</w:t>
            </w:r>
          </w:p>
        </w:tc>
        <w:tc>
          <w:tcPr>
            <w:tcW w:w="1468" w:type="dxa"/>
          </w:tcPr>
          <w:p w14:paraId="0EB17701"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92F234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Ideja që Katalogu i llojeve të shërbimeve duhet të përfshijë shërbimet për mbrojtjen dhe mbështetjen e viktimave të dhunës me bazë gjinore pranohet si element i rëndësishëm, në përputhje me detyrimet e Kosovës ndaj Konventës së Stambollit. Katalogu do të hartohet në konsultim me OShC-të dhe do të mbulojë një gamë të gjerë shërbimesh, duke përfshirë ato në fushën e mbrojtjes nga dhuna me bazë gjinore. Formulimi specifik i propozuar nuk përfshihet verbatim pasi Katalogu është instrument që do të zhvillohet gjatë zbatimit të strategjisë dhe përmbajtja e tij e detajuar nuk përcaktohet në nivel strategjie.</w:t>
            </w:r>
          </w:p>
        </w:tc>
      </w:tr>
      <w:tr w:rsidR="00093E56" w14:paraId="56D8EA67" w14:textId="77777777" w:rsidTr="00843505">
        <w:trPr>
          <w:trHeight w:val="1710"/>
        </w:trPr>
        <w:tc>
          <w:tcPr>
            <w:tcW w:w="618" w:type="dxa"/>
          </w:tcPr>
          <w:p w14:paraId="70AD799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A1E12E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7EC9318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titulli "Objektivi Specifik 3.2. Përmirësimi i koordinimit ndërmjet institucioneve dhe rritja e kapaciteteve të nëpunësve civilë dhe OSHC-ve" në: "Objektivi Specifik 3.2. Përmirësimi i koordinimit ndërmjet institucioneve dhe rritja e kapaciteteve të nëpunësve civilë dhe OSHC-ve, përfshirë edhe buxhetimin e përgjegjshëm gjinor të kostove të shërbimeve."</w:t>
            </w:r>
          </w:p>
        </w:tc>
        <w:tc>
          <w:tcPr>
            <w:tcW w:w="1468" w:type="dxa"/>
          </w:tcPr>
          <w:p w14:paraId="077D74D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2F908F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br/>
              <w:t>Parimi i buxhetimit të përgjegjshëm gjinor në kostimin e shërbimeve është pranuar dhe do të integrohet në tekstin e OS 3.2, siç është pranuar në rreshtin #100. Nuk shtohet në titull për të ruajtur konsistencën e nivelit të abstaksionit të titujve të objektivave specifike, të cilët nuk përmbajnë elemente specifike të ndërhyrjes.</w:t>
            </w:r>
          </w:p>
        </w:tc>
      </w:tr>
      <w:tr w:rsidR="00093E56" w14:paraId="592CF587" w14:textId="77777777" w:rsidTr="00843505">
        <w:trPr>
          <w:trHeight w:val="2565"/>
        </w:trPr>
        <w:tc>
          <w:tcPr>
            <w:tcW w:w="618" w:type="dxa"/>
          </w:tcPr>
          <w:p w14:paraId="5AA55E2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519541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07BA9A2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ndryshohet titulli "Objektivi Specifik 3.3. Mbështetje financiare (grante) për shërbime" në: "Objektivi Specifik 3.3. Mbështetje financiare, përfshirë grante afatgjata, për shërbime bazuar në buxhetim të përgjegjshëm gjinor dhe analiza të sakta të kostove." Koment shtesë i RrGK-së: "Për t'u diskutuar </w:t>
            </w:r>
            <w:r>
              <w:rPr>
                <w:rFonts w:ascii="Candara" w:eastAsia="Times New Roman" w:hAnsi="Candara" w:cs="Times New Roman"/>
                <w:sz w:val="18"/>
                <w:szCs w:val="18"/>
                <w:lang w:val="sq-AL"/>
              </w:rPr>
              <w:lastRenderedPageBreak/>
              <w:t>më tej me grupin punues (WG)."</w:t>
            </w:r>
          </w:p>
        </w:tc>
        <w:tc>
          <w:tcPr>
            <w:tcW w:w="1468" w:type="dxa"/>
          </w:tcPr>
          <w:p w14:paraId="1CB836F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62224E9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Koncepti i granteve afatgjata pranohet si shtesë e rëndësishme dhe në linjë me angazhimet e pranuara në rreshtat e mëparshëm mbi financimin e qëndrueshëm. Titulli riformulohet për të ruajtur koncizitetin duke integruar elementin thelbësor: "Objektivi Specifik 3.3. Mbështetje financiare afatgjata për shërbime." Buxhetimi i përgjegjshëm gjinor dhe kostimi i saktë integrohen në tekstin e objektivit, jo në titull, për të ruajtur konsistencën e nivelit të abstaksionit. RrGK vetë e ka shënuar këtë për diskutim të mëtejshëm me grupin punues.</w:t>
            </w:r>
          </w:p>
        </w:tc>
      </w:tr>
      <w:tr w:rsidR="00093E56" w14:paraId="133F85D8" w14:textId="77777777" w:rsidTr="00843505">
        <w:trPr>
          <w:trHeight w:val="2280"/>
        </w:trPr>
        <w:tc>
          <w:tcPr>
            <w:tcW w:w="618" w:type="dxa"/>
          </w:tcPr>
          <w:p w14:paraId="2CD4289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226F07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0AE2FDF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mjedisin e vullnetarizmit: "Për më tepër, ligji duhet të njohë vullnetarizmin si ekuivalent të përvojës formale të punës, duke ndihmuar kështu të rinjtë dhe individët e margjinalizuar të përmirësojnë punësueshmërinë e tyre."</w:t>
            </w:r>
          </w:p>
        </w:tc>
        <w:tc>
          <w:tcPr>
            <w:tcW w:w="1468" w:type="dxa"/>
          </w:tcPr>
          <w:p w14:paraId="41368BB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49A6C7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Njohja e vullnetarizmit si eksperiencë relevante për punësim, duke ndihmuar të rinjtë dhe individët e margjinalizuar të përmirësojnë punësueshmërinë e tyre, pranohet si element i rëndësishëm dhe në linjë me qëllimet e SO4. Ky parim do të integrohet në tekstin e SO4 si angazhim për t'u shqyrtuar në kuadrin e Koncept Dokumentit dhe legjislacionit të ardhshëm për vullnetarizmin, pa e vendosur si detyrim të drejtpërdrejtë që kalon kompetencën e kësaj strategjie.</w:t>
            </w:r>
          </w:p>
        </w:tc>
      </w:tr>
      <w:tr w:rsidR="00093E56" w14:paraId="69E78C54" w14:textId="77777777" w:rsidTr="00843505">
        <w:trPr>
          <w:trHeight w:val="2280"/>
        </w:trPr>
        <w:tc>
          <w:tcPr>
            <w:tcW w:w="618" w:type="dxa"/>
          </w:tcPr>
          <w:p w14:paraId="06FE71E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A6595B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562DA10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mandatin e Këshillit për Bashkëpunim Qeveri-Shoqëri Civile: "Të angazhohen organizata të ndryshme të shoqërisë civile duke i konsultuar dhe duke siguruar që perspektiva të ndryshme të përfaqësohen." Koment shtesë i RrGK-së: "The Council needs a mandate to engage, involve, and report back to diverse CSOs to ensure it is representing diverse CSOs' interests."</w:t>
            </w:r>
          </w:p>
        </w:tc>
        <w:tc>
          <w:tcPr>
            <w:tcW w:w="1468" w:type="dxa"/>
          </w:tcPr>
          <w:p w14:paraId="2F86E2E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64BAB61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Parimi i angazhimit të OShC-ve të ndryshme dhe sigurimit të perspektivave të larmishme në punën e Këshillit pranohet si element i rëndësishëm. Ky angazhim do të reflektohet në mandatin e ri të Këshillit gjatë procesit të rikonstituimit pas miratimit të Strategjisë, në linjë me pranimin e rreshtit #7. Formulimi specifik i propozuar nuk përfshihet verbatim, por logjika e tij integrohet në angazhimin ekzistues për Rregullat e reja të Punës të Këshillit.</w:t>
            </w:r>
          </w:p>
        </w:tc>
      </w:tr>
      <w:tr w:rsidR="00093E56" w14:paraId="42C57DDB" w14:textId="77777777" w:rsidTr="00843505">
        <w:trPr>
          <w:trHeight w:val="1995"/>
        </w:trPr>
        <w:tc>
          <w:tcPr>
            <w:tcW w:w="618" w:type="dxa"/>
          </w:tcPr>
          <w:p w14:paraId="72FF70C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C9611E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3438B63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Propozohet të shtohet në paragrafin për monitorimin e zbatimit të Strategjisë: "Ai duhet të përfshijë një balancë gjinore në përputhje me Ligjin për Barazinë Gjinore."</w:t>
            </w:r>
          </w:p>
        </w:tc>
        <w:tc>
          <w:tcPr>
            <w:tcW w:w="1468" w:type="dxa"/>
          </w:tcPr>
          <w:p w14:paraId="7EB213E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10B31F5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Kërkesa për balancë gjinore në strukturën e monitorimit të Strategjisë pranohet dhe mbështetet në Ligjin Nr. 05/L-020 për Barazi Gjinore (Neni 6), i cili obligon institucionet publike të marrin masa për të siguruar përfaqësim të barabartë gjinor në të gjitha organet dhe trupat vendimmarrëse. Kjo do të reflektohet në paragrafin për monitorimin e zbatimit të Strategjisë.</w:t>
            </w:r>
          </w:p>
        </w:tc>
      </w:tr>
      <w:tr w:rsidR="00093E56" w14:paraId="3D456DB9" w14:textId="77777777" w:rsidTr="00843505">
        <w:trPr>
          <w:trHeight w:val="1995"/>
        </w:trPr>
        <w:tc>
          <w:tcPr>
            <w:tcW w:w="618" w:type="dxa"/>
          </w:tcPr>
          <w:p w14:paraId="2D7A181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FFA386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Rrjeti i Grave të Kosovës (ndërhyrje në verzionin narrativ të Strategjisë) </w:t>
            </w:r>
          </w:p>
        </w:tc>
        <w:tc>
          <w:tcPr>
            <w:tcW w:w="2239" w:type="dxa"/>
          </w:tcPr>
          <w:p w14:paraId="7D52239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 Koment i RrGK-së për vlerësimin e kostos sipas objektivave strategjikë: "Kjo duhet të parashikojë grante qeveritare për OShC-të dhe të vendosë objektiva të qarta të financimit."</w:t>
            </w:r>
          </w:p>
        </w:tc>
        <w:tc>
          <w:tcPr>
            <w:tcW w:w="1468" w:type="dxa"/>
          </w:tcPr>
          <w:p w14:paraId="532CAB8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3BD392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Vlerësimi i kostos sipas objektivave strategjike është instrument planifikimi që identifikon burimet e nevojshme për zbatimin e strategjisë, jo mekanizëm për vendosjen e objektivave të financimit për OShC-të. Angazhimet specifike të financimit publik për OShC-të përcaktohen përmes procesit buxhetor vjetor dhe në kuadër të SO2, jo përmes seksionit të vlerësimit të kostos. Strategjia nuk mund të paravendosë objektiva të qarta financimi jashtë procesit të planifikimit buxhetor.</w:t>
            </w:r>
          </w:p>
        </w:tc>
      </w:tr>
      <w:tr w:rsidR="00093E56" w14:paraId="64C1758F" w14:textId="77777777" w:rsidTr="00843505">
        <w:trPr>
          <w:trHeight w:val="5415"/>
        </w:trPr>
        <w:tc>
          <w:tcPr>
            <w:tcW w:w="618" w:type="dxa"/>
          </w:tcPr>
          <w:p w14:paraId="2B8F17A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B8BBD3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YMCA</w:t>
            </w:r>
          </w:p>
        </w:tc>
        <w:tc>
          <w:tcPr>
            <w:tcW w:w="2239" w:type="dxa"/>
          </w:tcPr>
          <w:p w14:paraId="2AE67C0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Në këtë strategji, komenti ynë është shtimi i një objektivi të veçantë për krijimin e “Shtëpisë së OShC-ve” në Prishtinë, si kryeqytet i vendit, duke u bazuar në modele ekzistuese në vende të ndryshme evropiane. Ky objektiv duhet të parasheh ose vënien në dispozicion të një hapësire nga Qeveria, ose ndarjen e një buxheti të dedikuar për investim kapital për ndërtimin e një objekti të posaçëm për shoqërinë civile. Ky objekt do të shërbejë si hapësirë funksionale ku OJQ-të mund të zhvillojnë aktivitete, të marrin shërbime, të aftësohen dhe të kontribuojnë drejtpërdrejt edhe në implementimin e kësaj strategjie, duke ulur njëkohësisht varësinë financiare një nga rreziqet më të mëdha për qëndrueshmërinë e OShC-ve në Kosovë. Platforma CiviKos duhet te jetë e vendosur në këtë hapësirë si nje insitutcion me rendesi dhe do ta menaxhojë atë në bazë të një mandati të qartë dhe përgjegjësive të kontraktuara. Me këtë veprim, Qeveria do të tregonte vendosmërinë për një investim afatgjatë në shoqërinë civile, që e tejkalon çdo mandat politik dhe kontribuon për shumë vite në fuqizimin e </w:t>
            </w:r>
            <w:r>
              <w:rPr>
                <w:rFonts w:ascii="Candara" w:eastAsia="Times New Roman" w:hAnsi="Candara" w:cs="Times New Roman"/>
                <w:sz w:val="18"/>
                <w:szCs w:val="18"/>
                <w:lang w:val="sq-AL"/>
              </w:rPr>
              <w:lastRenderedPageBreak/>
              <w:t xml:space="preserve">demokracisë dhe institucioneve demokratike. Njëkohësisht, ky model mund të shërbejë si shembull për t’u ndjekur edhe në shtatë komunat më të mëdha të vendit, ku hapësirat e shoqërisë civile shihen si kontribuese në zhvillimin lokal dhe u garantohet vazhdimësi përmes infrastrukturës fizike të respektuar. </w:t>
            </w:r>
          </w:p>
        </w:tc>
        <w:tc>
          <w:tcPr>
            <w:tcW w:w="1468" w:type="dxa"/>
          </w:tcPr>
          <w:p w14:paraId="673140A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Nuk pranohet</w:t>
            </w:r>
          </w:p>
        </w:tc>
        <w:tc>
          <w:tcPr>
            <w:tcW w:w="4957" w:type="dxa"/>
          </w:tcPr>
          <w:p w14:paraId="678B442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Përtej kornizës aktuale të katër objektivave strategjikë dhe fazës në të cilën ndodhet Strategjia.</w:t>
            </w:r>
          </w:p>
        </w:tc>
      </w:tr>
      <w:tr w:rsidR="00093E56" w14:paraId="359E05CB" w14:textId="77777777" w:rsidTr="00843505">
        <w:trPr>
          <w:trHeight w:val="4275"/>
        </w:trPr>
        <w:tc>
          <w:tcPr>
            <w:tcW w:w="618" w:type="dxa"/>
          </w:tcPr>
          <w:p w14:paraId="6CC7EB6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C9EC34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YMCA</w:t>
            </w:r>
          </w:p>
        </w:tc>
        <w:tc>
          <w:tcPr>
            <w:tcW w:w="2239" w:type="dxa"/>
          </w:tcPr>
          <w:p w14:paraId="01B76EF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Te Objektivi Strategjik 1: Mjedis i favorshëm për pjesëmarrjen publike në politikë bërje – të shtohet edhe një Objektiv Specifik apo të adresohet në Objektivat Specifik aktual: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Që Strategjia të parashohë mekanizma të detyrueshëm për kthimin e feedback-ut institucional ndaj komenteve të OSHC-ve, përfshirë edhe raportim të qartë se si kontributet e sektorit civil reflektohen në dokumentet finale. Për organizatat ashtu sic ndodh edhe për YMCA, të cilat investojnë burime njerëzore dhe profesionale në konsultime, mungesa e feedback-ut zvogëlon motivimin për pjesëmarrje. Kjo praktikë ka ndodh në të gjitha proceset e konsultimit ku si organizatë jemi përfshi dhe komentet/sugjerimet nuk janë marrë parasysh dhe edhe pasi I kemi kërkua </w:t>
            </w:r>
            <w:r>
              <w:rPr>
                <w:rFonts w:ascii="Candara" w:eastAsia="Times New Roman" w:hAnsi="Candara" w:cs="Times New Roman"/>
                <w:sz w:val="18"/>
                <w:szCs w:val="18"/>
                <w:lang w:val="sq-AL"/>
              </w:rPr>
              <w:lastRenderedPageBreak/>
              <w:t>sqarim, nuk janë marrë parasysh. Praktikat evropiane tregojnë se dialogu funksional kërkon transparencë dypalëshe dhe forcim të rolit të mekanizmave të përbashkët, si Këshilli Qeveri–Shoqëri Civile, si platformë reale ndikimi dhe jo vetëm konsultative.</w:t>
            </w:r>
          </w:p>
        </w:tc>
        <w:tc>
          <w:tcPr>
            <w:tcW w:w="1468" w:type="dxa"/>
          </w:tcPr>
          <w:p w14:paraId="7528B538"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w:t>
            </w:r>
          </w:p>
        </w:tc>
        <w:tc>
          <w:tcPr>
            <w:tcW w:w="4957" w:type="dxa"/>
          </w:tcPr>
          <w:p w14:paraId="35BD2E1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Pas fjalisë </w:t>
            </w:r>
            <w:r>
              <w:rPr>
                <w:rFonts w:ascii="Candara" w:eastAsia="Times New Roman" w:hAnsi="Candara" w:cs="Times New Roman"/>
                <w:i/>
                <w:iCs/>
                <w:sz w:val="18"/>
                <w:szCs w:val="18"/>
                <w:lang w:val="sq-AL"/>
              </w:rPr>
              <w:t>"Meqë angazhimi i palëve të interesuara në procesin e konsultimit, veçanërisht OShC-të kërkon burime dhe ekspertizë të mjaftueshme, duhet të ketë planifikim më të mirë dhe informacion në kohë për palët e interesuara përpara se të fillojë procesi i konsultimit."</w:t>
            </w:r>
            <w:r>
              <w:rPr>
                <w:rFonts w:ascii="Candara" w:eastAsia="Times New Roman" w:hAnsi="Candara" w:cs="Times New Roman"/>
                <w:sz w:val="18"/>
                <w:szCs w:val="18"/>
                <w:lang w:val="sq-AL"/>
              </w:rPr>
              <w:t xml:space="preserve"> shtohet fjalia </w:t>
            </w:r>
            <w:r>
              <w:rPr>
                <w:rFonts w:ascii="Candara" w:eastAsia="Times New Roman" w:hAnsi="Candara" w:cs="Times New Roman"/>
                <w:i/>
                <w:iCs/>
                <w:sz w:val="18"/>
                <w:szCs w:val="18"/>
                <w:lang w:val="sq-AL"/>
              </w:rPr>
              <w:t>"</w:t>
            </w:r>
            <w:r>
              <w:rPr>
                <w:rFonts w:ascii="Candara" w:eastAsia="Times New Roman" w:hAnsi="Candara" w:cs="Times New Roman"/>
                <w:b/>
                <w:bCs/>
                <w:i/>
                <w:iCs/>
                <w:sz w:val="18"/>
                <w:szCs w:val="18"/>
                <w:lang w:val="sq-AL"/>
              </w:rPr>
              <w:t>Gjithashtu, duhet të ketë kthim të rregullt të feedback-ut institucional, duke rritur transparencën mbi mënyrën se si kontributet e OShC-ve merren parasysh dhe reflektohen në dokumentet finale të politikave dhe legjislacionit, ose arsyet për pranimin e pjesshëm ose mospranimin e tyre."</w:t>
            </w:r>
          </w:p>
        </w:tc>
      </w:tr>
      <w:tr w:rsidR="00093E56" w14:paraId="59E7E68B" w14:textId="77777777" w:rsidTr="00843505">
        <w:trPr>
          <w:trHeight w:val="3420"/>
        </w:trPr>
        <w:tc>
          <w:tcPr>
            <w:tcW w:w="618" w:type="dxa"/>
          </w:tcPr>
          <w:p w14:paraId="0A5103A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1050AE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YMCA</w:t>
            </w:r>
          </w:p>
        </w:tc>
        <w:tc>
          <w:tcPr>
            <w:tcW w:w="2239" w:type="dxa"/>
          </w:tcPr>
          <w:p w14:paraId="197F605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Te Objektivi Strategjik 2. Qëndrueshmëri e përmirësuar, financim transparent dhe i larmishëm i OSHC-ve, të shtohet edhe një Objektiv Specifik apo të adresohet në Objektivat Specifik aktual: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Strategjia aktuale e thekson dhe e njeh rëndësinë e financimit të diversifikuar, por rekomandohet të përfshijë më qartë mundësinë e financimit shumëvjeçar për OSHC-të që ofrojnë programe afatgjata për të rinjtë, si edukimi jo-formal, vullnetarizmi dhe shërbimet komunitare. Në YMCA ashtu si edhe në OSHC të tjera implementon programe shumëvjeçare që kërkojnë stabilitet financiar për të siguruar cilësi dhe vazhdimësi. Modelet evropiane të kontraktimit dhe financimit shumëvjeçar kanë dëshmuar se rrisin profesionalizmin e OSHC-ve dhe ulin varësinë nga financimi i fragmentuar.</w:t>
            </w:r>
          </w:p>
        </w:tc>
        <w:tc>
          <w:tcPr>
            <w:tcW w:w="1468" w:type="dxa"/>
          </w:tcPr>
          <w:p w14:paraId="469E993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D6940C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Rëndësia e financimit afatgjatë është pjesë e qasjes së përgjithshme të Strategjisë për forcimin e qëndrueshmërisë financiare për OJQ-të. Kjo qasje e përgjithshme përfshin edhe financimin për programe afatgjata në fushat e edukimit jo-formal, vullnetarizmit, shërbimeve komunitare, etj. Gjithashtu, Rregullorja mbi Kriteret, Standardet dhe Procedurat e Financimit Publik të OJQ-ve e mundëson financimin afatgjatë, ndërsa MKRS-ja tashmë paraqet një shembull të mirë të ndjekjes së kësaj qasjeje në praktikë. Kjo qasje do të promovohet më tej dhe në mënyrë të vazhdueshme përmes programeve të ardhshme të trajnimit të zyrtarëve publikë, si standard i praktikave të mira në financimin e OJQ-ve.</w:t>
            </w:r>
          </w:p>
        </w:tc>
      </w:tr>
      <w:tr w:rsidR="00093E56" w14:paraId="21CA3BC3" w14:textId="77777777" w:rsidTr="00843505">
        <w:trPr>
          <w:trHeight w:val="3420"/>
        </w:trPr>
        <w:tc>
          <w:tcPr>
            <w:tcW w:w="618" w:type="dxa"/>
          </w:tcPr>
          <w:p w14:paraId="308435D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B116C2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YMCA</w:t>
            </w:r>
          </w:p>
        </w:tc>
        <w:tc>
          <w:tcPr>
            <w:tcW w:w="2239" w:type="dxa"/>
          </w:tcPr>
          <w:p w14:paraId="466F6DE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Te Objektivi Strategjik 3. Zhvillimi i praktikave dhe procedurave për kontraktimin e OShC-ve për ofrimin e shërbimeve publike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Në këtë dokument ky objektiv strategjik adreson nevojën për ndërtimin e kapaciteteve të OSHCve që punojnë në shërbime sociale dhe programe të fokusuara në arsim, kujdes shëndetësor, strehim, mirëqenie sociale, kulturë, etj. por rekomandohet që ky objektiv të fokusohet më qartë edhe në rolin e OSHC-ve si ofrues të shërbimeve të edukimit joformal, veçanërisht për të rinjtë. YMCA në Kosovë operon qendra rinore dhe implementon programe të edukimit jo-formal, vullnetarizmit, lidershipit dhe përfshirjes sociale, të cilat plotësojnë dhe në disa raste zëvendësojnë shërbimet publike në nivel lokal shumë të rëndësishme për zhvillimin dhe mirëqenien e të rinjve.  </w:t>
            </w:r>
          </w:p>
        </w:tc>
        <w:tc>
          <w:tcPr>
            <w:tcW w:w="1468" w:type="dxa"/>
          </w:tcPr>
          <w:p w14:paraId="3BD857A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75A6F9C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Në fjalinë </w:t>
            </w:r>
            <w:r>
              <w:rPr>
                <w:rFonts w:ascii="Candara" w:eastAsia="Times New Roman" w:hAnsi="Candara" w:cs="Times New Roman"/>
                <w:b/>
                <w:bCs/>
                <w:i/>
                <w:iCs/>
                <w:sz w:val="18"/>
                <w:szCs w:val="18"/>
                <w:lang w:val="sq-AL"/>
              </w:rPr>
              <w:t xml:space="preserve">"OShC-të duhet të mbështeten në aftësinë e tyre për të ofruar një gamë të gjerë shërbimesh, duke përfshirë shërbime sociale dhe programe të fokusuara në arsim, kujdes shëndetësor, strehim, mirëqenie sociale, kulturë, etj." </w:t>
            </w:r>
            <w:r>
              <w:rPr>
                <w:rFonts w:ascii="Candara" w:eastAsia="Times New Roman" w:hAnsi="Candara" w:cs="Times New Roman"/>
                <w:sz w:val="18"/>
                <w:szCs w:val="18"/>
                <w:lang w:val="sq-AL"/>
              </w:rPr>
              <w:t xml:space="preserve"> shtohet fjala </w:t>
            </w:r>
            <w:r>
              <w:rPr>
                <w:rFonts w:ascii="Candara" w:eastAsia="Times New Roman" w:hAnsi="Candara" w:cs="Times New Roman"/>
                <w:b/>
                <w:bCs/>
                <w:i/>
                <w:iCs/>
                <w:sz w:val="18"/>
                <w:szCs w:val="18"/>
                <w:lang w:val="sq-AL"/>
              </w:rPr>
              <w:t>"edukim joformal"</w:t>
            </w:r>
            <w:r>
              <w:rPr>
                <w:rFonts w:ascii="Candara" w:eastAsia="Times New Roman" w:hAnsi="Candara" w:cs="Times New Roman"/>
                <w:sz w:val="18"/>
                <w:szCs w:val="18"/>
                <w:lang w:val="sq-AL"/>
              </w:rPr>
              <w:t xml:space="preserve">  si në vijim </w:t>
            </w:r>
            <w:r>
              <w:rPr>
                <w:rFonts w:ascii="Candara" w:eastAsia="Times New Roman" w:hAnsi="Candara" w:cs="Times New Roman"/>
                <w:i/>
                <w:iCs/>
                <w:sz w:val="18"/>
                <w:szCs w:val="18"/>
                <w:lang w:val="sq-AL"/>
              </w:rPr>
              <w:t xml:space="preserve">"OShC-të duhet të mbështeten në aftësinë e tyre për të ofruar një gamë të gjerë shërbimesh, duke përfshirë shërbime sociale dhe programe të fokusuara në arsim, kujdes shëndetësor, strehim, mirëqenie sociale, kulturë, </w:t>
            </w:r>
            <w:r>
              <w:rPr>
                <w:rFonts w:ascii="Candara" w:eastAsia="Times New Roman" w:hAnsi="Candara" w:cs="Times New Roman"/>
                <w:b/>
                <w:bCs/>
                <w:i/>
                <w:iCs/>
                <w:sz w:val="18"/>
                <w:szCs w:val="18"/>
                <w:lang w:val="sq-AL"/>
              </w:rPr>
              <w:t>edukim joformal,</w:t>
            </w:r>
            <w:r>
              <w:rPr>
                <w:rFonts w:ascii="Candara" w:eastAsia="Times New Roman" w:hAnsi="Candara" w:cs="Times New Roman"/>
                <w:i/>
                <w:iCs/>
                <w:sz w:val="18"/>
                <w:szCs w:val="18"/>
                <w:lang w:val="sq-AL"/>
              </w:rPr>
              <w:t xml:space="preserve"> etj"</w:t>
            </w:r>
          </w:p>
        </w:tc>
      </w:tr>
      <w:tr w:rsidR="00093E56" w14:paraId="00326E17" w14:textId="77777777" w:rsidTr="00843505">
        <w:trPr>
          <w:trHeight w:val="3135"/>
        </w:trPr>
        <w:tc>
          <w:tcPr>
            <w:tcW w:w="618" w:type="dxa"/>
          </w:tcPr>
          <w:p w14:paraId="66637F47"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216C60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YMCA</w:t>
            </w:r>
          </w:p>
        </w:tc>
        <w:tc>
          <w:tcPr>
            <w:tcW w:w="2239" w:type="dxa"/>
          </w:tcPr>
          <w:p w14:paraId="0EB797F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Te Objektivi Strategjik 4. Zhvillimi i vullnetarizmit si mjet edukativ dhe shoqëror për të rinjtë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Objektivi për rritjen e vullnetarizmit është i mirëpritur, por Strategjia mund të forcohet duke e trajtuar vullnetarizmin jo vetëm si aktivitet vullnetarë që ndodh një herë, por si proces edukativ dhe zhvillimor për të rinjtë.  YMCA ka përvojë të gjatë në zhvillimin e programeve të vullnetarizmit të strukturuar, që kontribuojnë në aftësitë </w:t>
            </w:r>
            <w:r>
              <w:rPr>
                <w:rFonts w:ascii="Candara" w:eastAsia="Times New Roman" w:hAnsi="Candara" w:cs="Times New Roman"/>
                <w:sz w:val="18"/>
                <w:szCs w:val="18"/>
                <w:lang w:val="sq-AL"/>
              </w:rPr>
              <w:lastRenderedPageBreak/>
              <w:t xml:space="preserve">personale, punësimin dhe pjesëmarrjen aktive qytetare të të rinjve. Praktikat evropiane e njohin vullnetarizmin si pjesë integrale të politikave rinore dhe ndër të tjera rekomandojnë njohjen formale të përvojës vullnetare në edukim dhe tregun e punës. </w:t>
            </w:r>
          </w:p>
        </w:tc>
        <w:tc>
          <w:tcPr>
            <w:tcW w:w="1468" w:type="dxa"/>
          </w:tcPr>
          <w:p w14:paraId="344EAD8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496343F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Aspektet specifike të ngritura lidhur me vullnetarizmin si proces edukativ dhe zhvillimor për të rinjtë, përfshirë çështjet e njohjes formale të përvojës vullnetare, do të rregullohen në mënyrë më të detajuar në Koncept Dokumentin për Vullnetarizmin, i cili do të trajtojë kornizën e plotë rregullative dhe masat zbatuese në këtë fushë.</w:t>
            </w:r>
          </w:p>
        </w:tc>
      </w:tr>
      <w:tr w:rsidR="00093E56" w14:paraId="52E79847" w14:textId="77777777" w:rsidTr="00843505">
        <w:trPr>
          <w:trHeight w:val="3135"/>
        </w:trPr>
        <w:tc>
          <w:tcPr>
            <w:tcW w:w="618" w:type="dxa"/>
          </w:tcPr>
          <w:p w14:paraId="29B60D4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828E52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KLGI</w:t>
            </w:r>
          </w:p>
        </w:tc>
        <w:tc>
          <w:tcPr>
            <w:tcW w:w="2239" w:type="dxa"/>
          </w:tcPr>
          <w:p w14:paraId="63EB77B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Objektivi Strategjik 1: Mjedis i favorshëm për pjesëmarrjen publike në politikë bërje </w:t>
            </w:r>
            <w:r>
              <w:rPr>
                <w:rFonts w:ascii="Candara" w:eastAsia="Times New Roman" w:hAnsi="Candara" w:cs="Times New Roman"/>
                <w:sz w:val="18"/>
                <w:szCs w:val="18"/>
                <w:lang w:val="sq-AL"/>
              </w:rPr>
              <w:br/>
              <w:t xml:space="preserve">Konsultimi publik: </w:t>
            </w:r>
            <w:r>
              <w:rPr>
                <w:rFonts w:ascii="Candara" w:eastAsia="Times New Roman" w:hAnsi="Candara" w:cs="Times New Roman"/>
                <w:sz w:val="18"/>
                <w:szCs w:val="18"/>
                <w:lang w:val="sq-AL"/>
              </w:rPr>
              <w:br/>
              <w:t xml:space="preserve">Krijimi i një mekanizmi koordinues (agjendë e përbashkët) ndërmjet komunave dhe shoqërisë civile për zgjerimin e konsultimeve publike (përfshirja në planifikimin e konsultimeve); </w:t>
            </w:r>
            <w:r>
              <w:rPr>
                <w:rFonts w:ascii="Candara" w:eastAsia="Times New Roman" w:hAnsi="Candara" w:cs="Times New Roman"/>
                <w:sz w:val="18"/>
                <w:szCs w:val="18"/>
                <w:lang w:val="sq-AL"/>
              </w:rPr>
              <w:br/>
              <w:t xml:space="preserve">Zhvillimi i bazave të të dhënave nga komunat për përfshirjen e palëve të interesit në fazat e hershme të konsultimit publik; </w:t>
            </w:r>
            <w:r>
              <w:rPr>
                <w:rFonts w:ascii="Candara" w:eastAsia="Times New Roman" w:hAnsi="Candara" w:cs="Times New Roman"/>
                <w:sz w:val="18"/>
                <w:szCs w:val="18"/>
                <w:lang w:val="sq-AL"/>
              </w:rPr>
              <w:br/>
              <w:t xml:space="preserve">Pilotimi i modeleve të bashkë-krijimit të politikave, modeli City Forum; </w:t>
            </w:r>
            <w:r>
              <w:rPr>
                <w:rFonts w:ascii="Candara" w:eastAsia="Times New Roman" w:hAnsi="Candara" w:cs="Times New Roman"/>
                <w:sz w:val="18"/>
                <w:szCs w:val="18"/>
                <w:lang w:val="sq-AL"/>
              </w:rPr>
              <w:br/>
              <w:t xml:space="preserve">Krijimi i një harte të proceseve të konsultimeve publike, nga kërkesa deri te përgjigjja. </w:t>
            </w:r>
          </w:p>
        </w:tc>
        <w:tc>
          <w:tcPr>
            <w:tcW w:w="1468" w:type="dxa"/>
          </w:tcPr>
          <w:p w14:paraId="5B5C4E9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7F3FF00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Strategjia adreson disa dimensione lokale të konsultimeve publike, përfshirë rolin e MAPL-së në promovimin e procesit të konsultimeve publike, mekanizmat e përgjithshëm të monitorimit dhe raportet vjetore për konsultimet publike në nivelin lokal. Çështjet tjera të ngritura lidhur me mekanizmat dhe procedurat specifike të konsultimit publik në nivel lokal janë  duke u trajtuar te manuali per konsultimet publike dhe rregullohen në nivel të komunave me Udhëzimin Administrativ për Administratë të Hapur në Komunë.  </w:t>
            </w:r>
          </w:p>
        </w:tc>
      </w:tr>
      <w:tr w:rsidR="00093E56" w14:paraId="5471FDC1" w14:textId="77777777" w:rsidTr="00843505">
        <w:trPr>
          <w:trHeight w:val="4560"/>
        </w:trPr>
        <w:tc>
          <w:tcPr>
            <w:tcW w:w="618" w:type="dxa"/>
          </w:tcPr>
          <w:p w14:paraId="19C9B8E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AC853D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KLGI</w:t>
            </w:r>
          </w:p>
        </w:tc>
        <w:tc>
          <w:tcPr>
            <w:tcW w:w="2239" w:type="dxa"/>
          </w:tcPr>
          <w:p w14:paraId="2244F64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Objektivi Strategjik 2: Qëndrueshmëri e përmirësuar e OShC-ve dhe financim transparent e i larmishëm i OShC-ve </w:t>
            </w:r>
            <w:r>
              <w:rPr>
                <w:rFonts w:ascii="Candara" w:eastAsia="Times New Roman" w:hAnsi="Candara" w:cs="Times New Roman"/>
                <w:sz w:val="18"/>
                <w:szCs w:val="18"/>
                <w:lang w:val="sq-AL"/>
              </w:rPr>
              <w:br/>
              <w:t xml:space="preserve">Planifikimi i financimit publik në komuna, bazuar në konsultime publike me OJQ-të, si dhe vendosja e objektivave në bazë të dokumenteve strategjike komunale; </w:t>
            </w:r>
            <w:r>
              <w:rPr>
                <w:rFonts w:ascii="Candara" w:eastAsia="Times New Roman" w:hAnsi="Candara" w:cs="Times New Roman"/>
                <w:sz w:val="18"/>
                <w:szCs w:val="18"/>
                <w:lang w:val="sq-AL"/>
              </w:rPr>
              <w:br/>
              <w:t xml:space="preserve">Krijimi i një mekanizmi të përhershëm apo njësie komunale për zhvillimin e thirrjeve publike, për të mbajtur të përqendruara kapacitetet, monitorimin dhe raportimin (duke përfshirë të gjitha njësitë nëpër të cilat kalon procesi: zyrtari kryesor financiar, niveli i mesëm i hartimit dhe monitorimit të politikave); </w:t>
            </w:r>
            <w:r>
              <w:rPr>
                <w:rFonts w:ascii="Candara" w:eastAsia="Times New Roman" w:hAnsi="Candara" w:cs="Times New Roman"/>
                <w:sz w:val="18"/>
                <w:szCs w:val="18"/>
                <w:lang w:val="sq-AL"/>
              </w:rPr>
              <w:br/>
              <w:t xml:space="preserve">Nevoja për zhvillimin e financimeve publike, bazuar në programet komunale, duke integruar potencialin, përfshirë hapësirat publike, financimet si dhe kontratat (si shërbimet e printimit apo ato të pajisjeve, duke përfshirë edhe pronat); </w:t>
            </w:r>
            <w:r>
              <w:rPr>
                <w:rFonts w:ascii="Candara" w:eastAsia="Times New Roman" w:hAnsi="Candara" w:cs="Times New Roman"/>
                <w:sz w:val="18"/>
                <w:szCs w:val="18"/>
                <w:lang w:val="sq-AL"/>
              </w:rPr>
              <w:br/>
              <w:t xml:space="preserve">Ngritja e kapaciteteve për zyrtarët komunalë, si dhe krijimi i një njësie që siguron qasje profesionale, nga shpallja e thirrjes, zbatimi i procedurave, monitorimi/vlerësimi dhe raportimi. </w:t>
            </w:r>
          </w:p>
        </w:tc>
        <w:tc>
          <w:tcPr>
            <w:tcW w:w="1468" w:type="dxa"/>
          </w:tcPr>
          <w:p w14:paraId="4AA820C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2EFDAA1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Rekomandimet e KLGI-së adresojnë organizimin e brendshëm të financimit komunal të OShC-ve, planifikimin buxhetor, krijimin e njësive të dedikuara dhe procedurat e thirrjeve publike në nivel komunal te cilat jane te rregulluar ame Rregulloren per financimin publik te OJQ-ve. gjithashtu këto çështje bien nën kompetencën ekskluzive të komunave, të garantuar me Ligjin për Vetëqeverisjen Lokale, dhe qeveria qendrore nuk mund t'u imponojë komunave struktura organizative apo procedura të brendshme financiare. Strategjia mund të inkurajojë praktika të mira dhe ngritje kapacitetesh për zyrtarët komunalë, angazhim i cili reflektohet në aktivitetet e SO2, por jo të vendosë detyrime mbi mënyrën e organizimit të financimit komunal të OShC-ve.</w:t>
            </w:r>
          </w:p>
        </w:tc>
      </w:tr>
      <w:tr w:rsidR="00093E56" w14:paraId="7BD8D985" w14:textId="77777777" w:rsidTr="00843505">
        <w:trPr>
          <w:trHeight w:val="2850"/>
        </w:trPr>
        <w:tc>
          <w:tcPr>
            <w:tcW w:w="618" w:type="dxa"/>
          </w:tcPr>
          <w:p w14:paraId="3420BC1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6DBA1A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KLGI</w:t>
            </w:r>
          </w:p>
        </w:tc>
        <w:tc>
          <w:tcPr>
            <w:tcW w:w="2239" w:type="dxa"/>
          </w:tcPr>
          <w:p w14:paraId="12D6715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Objektivi Strategjik 3: Zhvillimi i praktikave dhe procedurave për kontraktimin e OShC-ve për ofrimin e shërbimeve publike </w:t>
            </w:r>
            <w:r>
              <w:rPr>
                <w:rFonts w:ascii="Candara" w:eastAsia="Times New Roman" w:hAnsi="Candara" w:cs="Times New Roman"/>
                <w:sz w:val="18"/>
                <w:szCs w:val="18"/>
                <w:lang w:val="sq-AL"/>
              </w:rPr>
              <w:br/>
              <w:t xml:space="preserve">Në fokus, kjo duhet të ndërlidhet me fushat e ofrimit të shërbimeve sociale, duke siguruar, në njërën anë, qëndrueshmëri, por edhe, në anën tjetër, standardet e ofrimit të shërbimeve; </w:t>
            </w:r>
            <w:r>
              <w:rPr>
                <w:rFonts w:ascii="Candara" w:eastAsia="Times New Roman" w:hAnsi="Candara" w:cs="Times New Roman"/>
                <w:sz w:val="18"/>
                <w:szCs w:val="18"/>
                <w:lang w:val="sq-AL"/>
              </w:rPr>
              <w:br/>
              <w:t xml:space="preserve">Kjo duhet të sigurojë edhe një hapësirë për qasjen në procedurat e prokurimit publik, në mënyrë që referencat e punës t’u njihen në zhvillimin e dokumenteve publike, duke pasur në qendër dy synime: zhvillimin e politikave lokale me pronësi nga shoqëria civile, si dhe kostot më efektive dhe qëndrueshmërinë. </w:t>
            </w:r>
          </w:p>
        </w:tc>
        <w:tc>
          <w:tcPr>
            <w:tcW w:w="1468" w:type="dxa"/>
          </w:tcPr>
          <w:p w14:paraId="47C619D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5DA897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Në kuadër të objektivit strategjik 3 parashihet përmirësimi i standardeve të ofrimit së shërbimeve për qytetarët, sigurimi i qëndrueshmërisë së tyre, si dhe krijimi i proceseve transparente dhe efikase të kontraktimit të OShC-ve për ofrimin e shërbimeve publike.</w:t>
            </w:r>
          </w:p>
        </w:tc>
      </w:tr>
      <w:tr w:rsidR="00093E56" w14:paraId="435F4F23" w14:textId="77777777" w:rsidTr="00843505">
        <w:trPr>
          <w:trHeight w:val="4275"/>
        </w:trPr>
        <w:tc>
          <w:tcPr>
            <w:tcW w:w="618" w:type="dxa"/>
          </w:tcPr>
          <w:p w14:paraId="491DB91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45308F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QKSGj</w:t>
            </w:r>
          </w:p>
        </w:tc>
        <w:tc>
          <w:tcPr>
            <w:tcW w:w="2239" w:type="dxa"/>
          </w:tcPr>
          <w:p w14:paraId="508BC27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Sa i përket</w:t>
            </w:r>
            <w:r>
              <w:rPr>
                <w:rFonts w:ascii="Arial" w:eastAsia="Times New Roman" w:hAnsi="Arial" w:cs="Arial"/>
                <w:sz w:val="18"/>
                <w:szCs w:val="18"/>
                <w:lang w:val="sq-AL"/>
              </w:rPr>
              <w:t> </w:t>
            </w:r>
            <w:r>
              <w:rPr>
                <w:rFonts w:ascii="Candara" w:eastAsia="Times New Roman" w:hAnsi="Candara" w:cs="Times New Roman"/>
                <w:sz w:val="18"/>
                <w:szCs w:val="18"/>
                <w:lang w:val="sq-AL"/>
              </w:rPr>
              <w:t xml:space="preserve"> Ligji Nr. 05/L-020 mbi Barazin</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Gjinore </w:t>
            </w:r>
            <w:r>
              <w:rPr>
                <w:rFonts w:ascii="Candara" w:eastAsia="Times New Roman" w:hAnsi="Candara" w:cs="Candara"/>
                <w:sz w:val="18"/>
                <w:szCs w:val="18"/>
                <w:lang w:val="sq-AL"/>
              </w:rPr>
              <w:t>ë</w:t>
            </w:r>
            <w:r>
              <w:rPr>
                <w:rFonts w:ascii="Candara" w:eastAsia="Times New Roman" w:hAnsi="Candara" w:cs="Times New Roman"/>
                <w:sz w:val="18"/>
                <w:szCs w:val="18"/>
                <w:lang w:val="sq-AL"/>
              </w:rPr>
              <w:t>sht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shum</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i qart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n</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k</w:t>
            </w:r>
            <w:r>
              <w:rPr>
                <w:rFonts w:ascii="Candara" w:eastAsia="Times New Roman" w:hAnsi="Candara" w:cs="Candara"/>
                <w:sz w:val="18"/>
                <w:szCs w:val="18"/>
                <w:lang w:val="sq-AL"/>
              </w:rPr>
              <w:t>ë</w:t>
            </w:r>
            <w:r>
              <w:rPr>
                <w:rFonts w:ascii="Candara" w:eastAsia="Times New Roman" w:hAnsi="Candara" w:cs="Times New Roman"/>
                <w:sz w:val="18"/>
                <w:szCs w:val="18"/>
                <w:lang w:val="sq-AL"/>
              </w:rPr>
              <w:t>rkesat e tij: Prandaj do 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donim q</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strategjia ta ket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nj</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p</w:t>
            </w:r>
            <w:r>
              <w:rPr>
                <w:rFonts w:ascii="Candara" w:eastAsia="Times New Roman" w:hAnsi="Candara" w:cs="Candara"/>
                <w:sz w:val="18"/>
                <w:szCs w:val="18"/>
                <w:lang w:val="sq-AL"/>
              </w:rPr>
              <w:t>ë</w:t>
            </w:r>
            <w:r>
              <w:rPr>
                <w:rFonts w:ascii="Candara" w:eastAsia="Times New Roman" w:hAnsi="Candara" w:cs="Times New Roman"/>
                <w:sz w:val="18"/>
                <w:szCs w:val="18"/>
                <w:lang w:val="sq-AL"/>
              </w:rPr>
              <w:t>rfshirje m</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madhe gjinore.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Neni 5.1.3</w:t>
            </w:r>
            <w:r>
              <w:rPr>
                <w:rFonts w:ascii="Arial" w:eastAsia="Times New Roman" w:hAnsi="Arial" w:cs="Arial"/>
                <w:sz w:val="18"/>
                <w:szCs w:val="18"/>
                <w:lang w:val="sq-AL"/>
              </w:rPr>
              <w:t> </w:t>
            </w:r>
            <w:r>
              <w:rPr>
                <w:rFonts w:ascii="Candara" w:eastAsia="Times New Roman" w:hAnsi="Candara" w:cs="Times New Roman"/>
                <w:sz w:val="18"/>
                <w:szCs w:val="18"/>
                <w:lang w:val="sq-AL"/>
              </w:rPr>
              <w:t>obligon integrimin e perspektiv</w:t>
            </w:r>
            <w:r>
              <w:rPr>
                <w:rFonts w:ascii="Candara" w:eastAsia="Times New Roman" w:hAnsi="Candara" w:cs="Candara"/>
                <w:sz w:val="18"/>
                <w:szCs w:val="18"/>
                <w:lang w:val="sq-AL"/>
              </w:rPr>
              <w:t>ë</w:t>
            </w:r>
            <w:r>
              <w:rPr>
                <w:rFonts w:ascii="Candara" w:eastAsia="Times New Roman" w:hAnsi="Candara" w:cs="Times New Roman"/>
                <w:sz w:val="18"/>
                <w:szCs w:val="18"/>
                <w:lang w:val="sq-AL"/>
              </w:rPr>
              <w:t>s gjinore n</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gjitha politikat, dokumentet dhe legjislacionin.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Po ashtu Plani i Veprimit Gjinor i BE-së III (GAP III) vendos standarde, duke kërkuar që shumica dërrmuese e veprimeve të financuara nga BE-ja të kenë objektiva të kjarta gjinore, dhe mbështet vetë nëse ka edhe një një analizë gjinore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Pasi kemi një bashkëpunim të mirë mes nesh do të donim të ndihmonim që kjo </w:t>
            </w:r>
            <w:r>
              <w:rPr>
                <w:rFonts w:ascii="Candara" w:eastAsia="Times New Roman" w:hAnsi="Candara" w:cs="Times New Roman"/>
                <w:sz w:val="18"/>
                <w:szCs w:val="18"/>
                <w:lang w:val="sq-AL"/>
              </w:rPr>
              <w:lastRenderedPageBreak/>
              <w:t xml:space="preserve">strategji të jetë sa më përfshirëse sa i përket aspektit gjinor dhe jemi të gatshëm në ditët në vijim të japim ma konkretisht intervenim.  </w:t>
            </w:r>
          </w:p>
        </w:tc>
        <w:tc>
          <w:tcPr>
            <w:tcW w:w="1468" w:type="dxa"/>
          </w:tcPr>
          <w:p w14:paraId="1CB16904"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Nuk pranohet</w:t>
            </w:r>
          </w:p>
        </w:tc>
        <w:tc>
          <w:tcPr>
            <w:tcW w:w="4957" w:type="dxa"/>
          </w:tcPr>
          <w:p w14:paraId="5D1680F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Disa nga rekomandimet tashme janë te përfshira ne dokument ndërsa Intervenimet më konkrete nuk janë pranuar deri në këtë fazë.</w:t>
            </w:r>
          </w:p>
        </w:tc>
      </w:tr>
      <w:tr w:rsidR="00093E56" w14:paraId="6E3EBD78" w14:textId="77777777" w:rsidTr="00843505">
        <w:trPr>
          <w:trHeight w:val="7414"/>
        </w:trPr>
        <w:tc>
          <w:tcPr>
            <w:tcW w:w="618" w:type="dxa"/>
          </w:tcPr>
          <w:p w14:paraId="3A6BDAC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6B45E0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60872D2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Koment i Përgjithshëm: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Duke u bazuar edhe në mësimet e strategjive të kaluara dhe në sfidat e evidentuara në vetë dokument (mospërputhje mes “pajtueshmërisë formale” dhe zbatimit praktik; konsultime jo gjithmonë kuptimplota; përfshirje jo gjithmonë gjithëpërfshirëse), sugjerojmë që Strategjia të lokalizohet në mënyrë eksplicite: për secilin objektiv strategjik të ketë nën-objektiva/masa të dedikuara për nivelin komunal dhe indikatorë të matshëm që tregojnë ndryshimin në komuna dhe ndikimin në bashkëpunimin komunë–OSHC.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Pse është e domosdoshme lokalizimi?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Komunat kanë autonomi vendimmarrëse dhe kapacitete të ndryshme; prandaj, masat që burojnë nga niveli qendror shpesh nuk trajtohen si obligim </w:t>
            </w:r>
            <w:r>
              <w:rPr>
                <w:rFonts w:ascii="Candara" w:eastAsia="Times New Roman" w:hAnsi="Candara" w:cs="Times New Roman"/>
                <w:sz w:val="18"/>
                <w:szCs w:val="18"/>
                <w:lang w:val="sq-AL"/>
              </w:rPr>
              <w:lastRenderedPageBreak/>
              <w:t xml:space="preserve">praktik në nivel komunal pa një fokus të qartë, indikatorë dhe llogaridhënie të veçantë komunale.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Shumë OSHC zhvillojnë punë të konsiderueshme me nivelin lokal; pa pasur indikatorë komunalë, Këshilli dhe institucionet humbin mundësinë të raportojnë ndikim real edhe më të madh (p.sh. në shtrirje territoriale, partneritete, rezultate qytetare).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Donatorët po e orientojnë gjithnjë e më shumë mbështetjen drejt reformave dhe shërbimeve në nivel lokal; një Strategji e lokalizuar do të ndihmonte që OSHC-të dhe komunat të koordinohen më mirë edhe me donatorët. </w:t>
            </w:r>
          </w:p>
        </w:tc>
        <w:tc>
          <w:tcPr>
            <w:tcW w:w="1468" w:type="dxa"/>
          </w:tcPr>
          <w:p w14:paraId="3CDCBE8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7B86678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Ndonëse Strategjia trajton disa dimensione të nivelit lokal, ajo rregullon bashkëpunimin ndërmjet Qeverisë dhe OShC-ve. Rrjedhimisht, shtimi i nën-objektivave të veçantë për nivelin komunal do të tejkalonte fushëveprimin e Strategjisë. Në vend të kësaj, rekomandohet që disa prej këtyre elemente të adresohen përmes nën-objektivave ekzistuese, aty ku është e mundur.</w:t>
            </w:r>
          </w:p>
        </w:tc>
      </w:tr>
      <w:tr w:rsidR="00093E56" w14:paraId="3579F8A6" w14:textId="77777777" w:rsidTr="00843505">
        <w:trPr>
          <w:trHeight w:val="5985"/>
        </w:trPr>
        <w:tc>
          <w:tcPr>
            <w:tcW w:w="618" w:type="dxa"/>
          </w:tcPr>
          <w:p w14:paraId="77F7A88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309B16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55E71B8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Komente Specifike: </w:t>
            </w:r>
            <w:r>
              <w:rPr>
                <w:rFonts w:ascii="Candara" w:eastAsia="Times New Roman" w:hAnsi="Candara" w:cs="Times New Roman"/>
                <w:sz w:val="18"/>
                <w:szCs w:val="18"/>
                <w:lang w:val="sq-AL"/>
              </w:rPr>
              <w:br/>
              <w:t xml:space="preserve">Çfarë të përfshihet konkretisht (propozime për nën-objektiva/indikatorë lokalë) </w:t>
            </w:r>
            <w:r>
              <w:rPr>
                <w:rFonts w:ascii="Candara" w:eastAsia="Times New Roman" w:hAnsi="Candara" w:cs="Times New Roman"/>
                <w:sz w:val="18"/>
                <w:szCs w:val="18"/>
                <w:lang w:val="sq-AL"/>
              </w:rPr>
              <w:br/>
              <w:t xml:space="preserve">Objektivi Strategjik 1: Pjesëmarrja e publikut në hartimin e politikave (niveli lokal) </w:t>
            </w:r>
            <w:r>
              <w:rPr>
                <w:rFonts w:ascii="Candara" w:eastAsia="Times New Roman" w:hAnsi="Candara" w:cs="Times New Roman"/>
                <w:sz w:val="18"/>
                <w:szCs w:val="18"/>
                <w:lang w:val="sq-AL"/>
              </w:rPr>
              <w:br/>
              <w:t xml:space="preserve">Pozitive që Plani i Veprimit parashikon trajnime për nëpunës civilë në nivel lokal dhe përfshirje të MAPL në këto masa.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Sugjerojmë të shtohet një nën-objektiv komunal, me indikatorë si: </w:t>
            </w:r>
            <w:r>
              <w:rPr>
                <w:rFonts w:ascii="Candara" w:eastAsia="Times New Roman" w:hAnsi="Candara" w:cs="Times New Roman"/>
                <w:sz w:val="18"/>
                <w:szCs w:val="18"/>
                <w:lang w:val="sq-AL"/>
              </w:rPr>
              <w:br/>
              <w:t xml:space="preserve">% e komunave që publikojnë plan vjetor të konsultimeve dhe e zbatojnë (me dëshmi në platformën e konsultimeve / web-faqe komunale). </w:t>
            </w:r>
            <w:r>
              <w:rPr>
                <w:rFonts w:ascii="Candara" w:eastAsia="Times New Roman" w:hAnsi="Candara" w:cs="Times New Roman"/>
                <w:sz w:val="18"/>
                <w:szCs w:val="18"/>
                <w:lang w:val="sq-AL"/>
              </w:rPr>
              <w:br/>
              <w:t xml:space="preserve">% e konsultimeve komunale që plotësojnë standardet minimale (p.sh. cilësia e dokumenteve, afatet, përgjigjet ndaj komenteve). </w:t>
            </w:r>
            <w:r>
              <w:rPr>
                <w:rFonts w:ascii="Candara" w:eastAsia="Times New Roman" w:hAnsi="Candara" w:cs="Times New Roman"/>
                <w:sz w:val="18"/>
                <w:szCs w:val="18"/>
                <w:lang w:val="sq-AL"/>
              </w:rPr>
              <w:br/>
              <w:t xml:space="preserve">Numri i rasteve kur komuna publikon “raport përgjigjesh” ndaj komenteve (feedback loop i matshëm). </w:t>
            </w:r>
            <w:r>
              <w:rPr>
                <w:rFonts w:ascii="Candara" w:eastAsia="Times New Roman" w:hAnsi="Candara" w:cs="Times New Roman"/>
                <w:sz w:val="18"/>
                <w:szCs w:val="18"/>
                <w:lang w:val="sq-AL"/>
              </w:rPr>
              <w:br/>
              <w:t xml:space="preserve">Të paktën 1 seancë e Këshillit në komuna jashtë kryeqytetit çdo vit është praktikë e mirë; të shndërrohet në mekanizëm “rajonal” me rezultate konkrete (p.sh. rekomandime të Këshillit të përkthyera në plane komunale). </w:t>
            </w:r>
          </w:p>
        </w:tc>
        <w:tc>
          <w:tcPr>
            <w:tcW w:w="1468" w:type="dxa"/>
          </w:tcPr>
          <w:p w14:paraId="1E17C79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14F97A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adreson disa dimensione lokale të konsultimeve publike, përfshirë rolin e MAPL-së në promovimin e procesit të konsultimeve publike, mekanizmat e përgjithshëm të monitorimit dhe raportet vjetore për konsultimet publike në nivelin lokal. Brenda këtyre monitorimeve dhe raporteve vjetore, ZQM/ZKM dhe MAPL i përfshijë edhe indikatorë të matshëm, si: përqindja (%) e komunave që publikojnë dhe zbatojnë planet vjetore të konsultimeve, përqindja (%) e konsultimeve komunale që përmbushin standardet minimale, si dhe numri i rasteve kur komunat publikojnë raporte finale me përgjigje ndaj komenteve të publikut. Këto janë pjese e raportit vjetor te konsultimeve me publikun qe publikohet nga ZQM/ZKM. Megjithatë, ndonëse Strategjia trajton disa dimensione të nivelit lokal, ajo kryesisht rregullon bashkëpunimin ndërmjet Qeverisë dhe OShC-ve. Nën objektive nuk shihet e arsyeshme te përfshihet, ndërsa ne vend të kësaj, rekomandohet që këto elemente të adresohen përmes mekanizmave të monitorimit në kuadër të ZQM/ZKM dhe  MAPL-së.</w:t>
            </w:r>
            <w:r>
              <w:rPr>
                <w:rFonts w:ascii="Candara" w:eastAsia="Times New Roman" w:hAnsi="Candara" w:cs="Times New Roman"/>
                <w:sz w:val="18"/>
                <w:szCs w:val="18"/>
                <w:lang w:val="sq-AL"/>
              </w:rPr>
              <w:br/>
              <w:t>Sa i përket seancave të Këshillit në komuna, Plani i Veprimit parasheh që Këshilli të organizojë edhe sesione në qytete të ndryshme të vendit, ku OShC lokale mund të informohen mbi çështje të rëndësishme për zhvillimin e shoqërisë civile.</w:t>
            </w:r>
          </w:p>
        </w:tc>
      </w:tr>
      <w:tr w:rsidR="00093E56" w14:paraId="21BE75FB" w14:textId="77777777" w:rsidTr="00843505">
        <w:trPr>
          <w:trHeight w:val="4909"/>
        </w:trPr>
        <w:tc>
          <w:tcPr>
            <w:tcW w:w="618" w:type="dxa"/>
          </w:tcPr>
          <w:p w14:paraId="2344D25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24746B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23711A9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Objektivi Strategjik 2: Qëndrueshmëria/financimi i OSHC-ve (niveli lokal) </w:t>
            </w:r>
            <w:r>
              <w:rPr>
                <w:rFonts w:ascii="Candara" w:eastAsia="Times New Roman" w:hAnsi="Candara" w:cs="Times New Roman"/>
                <w:sz w:val="18"/>
                <w:szCs w:val="18"/>
                <w:lang w:val="sq-AL"/>
              </w:rPr>
              <w:br/>
              <w:t xml:space="preserve">Pozitive që Plani e njeh zbatimin “në nivel qendror dhe lokal” për standardet e pronës publike dhe parasheh regjistër elektronik të pronave qendrore/lokale. </w:t>
            </w:r>
            <w:r>
              <w:rPr>
                <w:rFonts w:ascii="Candara" w:eastAsia="Times New Roman" w:hAnsi="Candara" w:cs="Times New Roman"/>
                <w:sz w:val="18"/>
                <w:szCs w:val="18"/>
                <w:lang w:val="sq-AL"/>
              </w:rPr>
              <w:br/>
              <w:t xml:space="preserve">Sugjerojmë indikatorë të qartë komunalë, p.sh.: </w:t>
            </w:r>
            <w:r>
              <w:rPr>
                <w:rFonts w:ascii="Candara" w:eastAsia="Times New Roman" w:hAnsi="Candara" w:cs="Times New Roman"/>
                <w:sz w:val="18"/>
                <w:szCs w:val="18"/>
                <w:lang w:val="sq-AL"/>
              </w:rPr>
              <w:br/>
              <w:t xml:space="preserve">% e komunave që shpallin thirrje publike për OSHC sipas rregullores për financim publik (matje vjetore, të krahasueshme). </w:t>
            </w:r>
            <w:r>
              <w:rPr>
                <w:rFonts w:ascii="Candara" w:eastAsia="Times New Roman" w:hAnsi="Candara" w:cs="Times New Roman"/>
                <w:sz w:val="18"/>
                <w:szCs w:val="18"/>
                <w:lang w:val="sq-AL"/>
              </w:rPr>
              <w:br/>
              <w:t xml:space="preserve">Vlera totale dhe i thirrjeve komunale për OSHC dhe % e tyre që publikojnë raportim të plotë (shpallje, kritere, komisione, vendime, ankesa). </w:t>
            </w:r>
            <w:r>
              <w:rPr>
                <w:rFonts w:ascii="Candara" w:eastAsia="Times New Roman" w:hAnsi="Candara" w:cs="Times New Roman"/>
                <w:sz w:val="18"/>
                <w:szCs w:val="18"/>
                <w:lang w:val="sq-AL"/>
              </w:rPr>
              <w:br/>
              <w:t>Për pronën publike:  i pronave komunale të dhëna në shfrytëzim për OSHC dhe koha mesatare e procedurës (aplikim–vendim), plus evidenca në regjistër i n</w:t>
            </w:r>
            <w:r>
              <w:rPr>
                <w:rFonts w:ascii="Candara" w:eastAsia="Times New Roman" w:hAnsi="Candara" w:cs="Candara"/>
                <w:sz w:val="18"/>
                <w:szCs w:val="18"/>
                <w:lang w:val="sq-AL"/>
              </w:rPr>
              <w:t>ë</w:t>
            </w:r>
            <w:r>
              <w:rPr>
                <w:rFonts w:ascii="Candara" w:eastAsia="Times New Roman" w:hAnsi="Candara" w:cs="Times New Roman"/>
                <w:sz w:val="18"/>
                <w:szCs w:val="18"/>
                <w:lang w:val="sq-AL"/>
              </w:rPr>
              <w:t>pun</w:t>
            </w:r>
            <w:r>
              <w:rPr>
                <w:rFonts w:ascii="Candara" w:eastAsia="Times New Roman" w:hAnsi="Candara" w:cs="Candara"/>
                <w:sz w:val="18"/>
                <w:szCs w:val="18"/>
                <w:lang w:val="sq-AL"/>
              </w:rPr>
              <w:t>ë</w:t>
            </w:r>
            <w:r>
              <w:rPr>
                <w:rFonts w:ascii="Candara" w:eastAsia="Times New Roman" w:hAnsi="Candara" w:cs="Times New Roman"/>
                <w:sz w:val="18"/>
                <w:szCs w:val="18"/>
                <w:lang w:val="sq-AL"/>
              </w:rPr>
              <w:t>sve komunal</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t</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trajnuar dhe % e komunave q</w:t>
            </w:r>
            <w:r>
              <w:rPr>
                <w:rFonts w:ascii="Candara" w:eastAsia="Times New Roman" w:hAnsi="Candara" w:cs="Candara"/>
                <w:sz w:val="18"/>
                <w:szCs w:val="18"/>
                <w:lang w:val="sq-AL"/>
              </w:rPr>
              <w:t>ë</w:t>
            </w:r>
            <w:r>
              <w:rPr>
                <w:rFonts w:ascii="Candara" w:eastAsia="Times New Roman" w:hAnsi="Candara" w:cs="Times New Roman"/>
                <w:sz w:val="18"/>
                <w:szCs w:val="18"/>
                <w:lang w:val="sq-AL"/>
              </w:rPr>
              <w:t xml:space="preserve"> e zbatojnë udhëzuesin/manualin (kur të miratohet). </w:t>
            </w:r>
          </w:p>
        </w:tc>
        <w:tc>
          <w:tcPr>
            <w:tcW w:w="1468" w:type="dxa"/>
          </w:tcPr>
          <w:p w14:paraId="45162EE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7F134802" w14:textId="77777777" w:rsidR="00093E56" w:rsidRDefault="00843505">
            <w:pPr>
              <w:spacing w:after="240"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Përqindja (%) e komunave që shpallin thirrje publike për OShC sipas rregullores për financim publik është i adresuar në Planin e Veprimit, në kuadër të treguesit 2 të objektivit strategjik 2, ku termi "institucionet" përfshin edhe komunat, duke qenë se rregullorja zbatohet njësoj edhe në nivelin komunal.</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Shtohet një indikator për numrin e pronave komunale të dhëna në shfrytëzim për OShC.</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Rekomandimi lidhur me nëpunësit komunalë të trajnuar është i adresuar në Planin e Veprimit, në kuadër të objektivit strategjik 2.3.4. Megjithatë, mundësia për shtimin e një treguesi lidhur me numrin e nëpunësve të trajnuar dhe përqindjen (%) e komunave që zbatojnë udhëzuesin/manualin (pas miratimit të tij) do të shqyrtohet gjatë rishikimit të Planit të Veprimit në vitin 2028.</w:t>
            </w:r>
          </w:p>
        </w:tc>
      </w:tr>
      <w:tr w:rsidR="00093E56" w14:paraId="21A2584D" w14:textId="77777777" w:rsidTr="00843505">
        <w:trPr>
          <w:trHeight w:val="4530"/>
        </w:trPr>
        <w:tc>
          <w:tcPr>
            <w:tcW w:w="618" w:type="dxa"/>
          </w:tcPr>
          <w:p w14:paraId="22C0DE66"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C20BC1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6EDC40F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Objektivi Strategjik 3: Kontraktimi i OSHC-ve për shërbime publike (niveli lokal)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Plani synon mekanizëm funksional “në nivel kombëtar dhe lokal” dhe mat edhe zbatimin në komuna.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Sugjerojmë indikatorë komunalë që matin rezultat, jo vetëm proces, p.sh.: </w:t>
            </w:r>
            <w:r>
              <w:rPr>
                <w:rFonts w:ascii="Candara" w:eastAsia="Times New Roman" w:hAnsi="Candara" w:cs="Times New Roman"/>
                <w:sz w:val="18"/>
                <w:szCs w:val="18"/>
                <w:lang w:val="sq-AL"/>
              </w:rPr>
              <w:br/>
              <w:t xml:space="preserve">i komunave që piloton kontraktimin e shërbimeve me OSHC (për sektorë: shërbime sociale, kulturë, </w:t>
            </w:r>
            <w:r>
              <w:rPr>
                <w:rFonts w:ascii="Candara" w:eastAsia="Times New Roman" w:hAnsi="Candara" w:cs="Times New Roman"/>
                <w:sz w:val="18"/>
                <w:szCs w:val="18"/>
                <w:lang w:val="sq-AL"/>
              </w:rPr>
              <w:lastRenderedPageBreak/>
              <w:t xml:space="preserve">rini, mjedis). </w:t>
            </w:r>
            <w:r>
              <w:rPr>
                <w:rFonts w:ascii="Candara" w:eastAsia="Times New Roman" w:hAnsi="Candara" w:cs="Times New Roman"/>
                <w:sz w:val="18"/>
                <w:szCs w:val="18"/>
                <w:lang w:val="sq-AL"/>
              </w:rPr>
              <w:br/>
              <w:t xml:space="preserve">i kontratave të shërbimeve komunë–OSHC (vjetore), vlera totale dhe % e kontratave të dhëna me procedura të hapura. </w:t>
            </w:r>
            <w:r>
              <w:rPr>
                <w:rFonts w:ascii="Candara" w:eastAsia="Times New Roman" w:hAnsi="Candara" w:cs="Times New Roman"/>
                <w:sz w:val="18"/>
                <w:szCs w:val="18"/>
                <w:lang w:val="sq-AL"/>
              </w:rPr>
              <w:br/>
              <w:t xml:space="preserve">% e komunave që kanë kapacitete të standardizuara (udhëzim i brendshëm/plan prokurimi/shabllone kontraktimi dhe monitorimi të shërbimeve). </w:t>
            </w:r>
          </w:p>
        </w:tc>
        <w:tc>
          <w:tcPr>
            <w:tcW w:w="1468" w:type="dxa"/>
          </w:tcPr>
          <w:p w14:paraId="12B59E6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w:t>
            </w:r>
          </w:p>
        </w:tc>
        <w:tc>
          <w:tcPr>
            <w:tcW w:w="4957" w:type="dxa"/>
          </w:tcPr>
          <w:p w14:paraId="5C897D8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Propozimi për indikatorë komunalë të kontraktimit të shërbimeve nuk pranohet në këtë fazë. Akti nënligjor për kontraktimin e shërbimeve publike nga OShC-të, i parashikuar në Objektivin Specifik 3.1, është ende në zhvillim. Pa këtë bazë rregullatore, vendosja e indikatorëve komunalë specifik do të ishte e parakohshme. Pasi akti nënligjor të miratohet dhe pilotimi të fillojë, indikatorët e propozuar nga CIVIKOS mund të shqyrtohen si instrumente monitorimi në nivel lokal.</w:t>
            </w:r>
          </w:p>
        </w:tc>
      </w:tr>
      <w:tr w:rsidR="00093E56" w14:paraId="14D85F74" w14:textId="77777777" w:rsidTr="00843505">
        <w:trPr>
          <w:trHeight w:val="3990"/>
        </w:trPr>
        <w:tc>
          <w:tcPr>
            <w:tcW w:w="618" w:type="dxa"/>
          </w:tcPr>
          <w:p w14:paraId="6C223FC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8F5FC9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0FE8801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Objektivi Strategjik 4: Vullnetarizmi në programe me përfitim publik (niveli lokal)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Strategjia parashtron nevojën për mekanizëm koordinues dhe integrim në sektorë si arsim, shëndetësi, mjedis e shërbime sociale.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Sugjerojmë ta përkthejmë këtë në indikatorë komunalë, p.sh.: </w:t>
            </w:r>
            <w:r>
              <w:rPr>
                <w:rFonts w:ascii="Candara" w:eastAsia="Times New Roman" w:hAnsi="Candara" w:cs="Times New Roman"/>
                <w:sz w:val="18"/>
                <w:szCs w:val="18"/>
                <w:lang w:val="sq-AL"/>
              </w:rPr>
              <w:br/>
              <w:t xml:space="preserve">i komunave që emërojnë pikë fokale/koordinator për vullnetarizëm dhe miratojnë plan vjetor të aktiviteteve vullnetare. </w:t>
            </w:r>
            <w:r>
              <w:rPr>
                <w:rFonts w:ascii="Candara" w:eastAsia="Times New Roman" w:hAnsi="Candara" w:cs="Times New Roman"/>
                <w:sz w:val="18"/>
                <w:szCs w:val="18"/>
                <w:lang w:val="sq-AL"/>
              </w:rPr>
              <w:br/>
              <w:t xml:space="preserve"> i programeve komunale të vullnetarizmit (të regjistruara) dhe i vullnetarëve + orë vullnetare (raportim i standardizuar). </w:t>
            </w:r>
            <w:r>
              <w:rPr>
                <w:rFonts w:ascii="Candara" w:eastAsia="Times New Roman" w:hAnsi="Candara" w:cs="Times New Roman"/>
                <w:sz w:val="18"/>
                <w:szCs w:val="18"/>
                <w:lang w:val="sq-AL"/>
              </w:rPr>
              <w:br/>
              <w:t xml:space="preserve"> i partneriteteve komunë–OSHC–shkollë për vullnetarizëm (me rezultate të matshme). </w:t>
            </w:r>
          </w:p>
        </w:tc>
        <w:tc>
          <w:tcPr>
            <w:tcW w:w="1468" w:type="dxa"/>
          </w:tcPr>
          <w:p w14:paraId="65865AE7"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6E5A2F6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Propozimi për indikatorë komunalë të vullnetarizmit nuk pranohet në këtë fazë. Kuadri rregullator dhe institucional për vullnetarizmin është ende në zhvillim, Koncept Dokumenti për Vullnetarizmin nuk është miratuar ende. Pa këtë bazë, vendosja e indikatorëve komunalë specifik do të ishte e parakohshme dhe pa mbështetje ligjore. Pasi Koncept Dokumenti të miratohet, indikatorët e propozuar mund të shqyrtohen në kuadër të instrumenteve zbatues të SO4.</w:t>
            </w:r>
          </w:p>
        </w:tc>
      </w:tr>
      <w:tr w:rsidR="00093E56" w14:paraId="73366475" w14:textId="77777777" w:rsidTr="00843505">
        <w:trPr>
          <w:trHeight w:val="1995"/>
        </w:trPr>
        <w:tc>
          <w:tcPr>
            <w:tcW w:w="618" w:type="dxa"/>
          </w:tcPr>
          <w:p w14:paraId="4BD29612"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8D3FB7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2762F6A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Përforcimi i qeverisjes dhe përfaqësimit lokal në Këshill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Këshilli është mekanizëm kyç i bashkëpunimit. Sugjerojmë të konsiderohet përfshirja e një përfaqësuesi të nivelit lokal, p.sh. Asociacioni i Komunave të Kosovës (si OJQ), qoftë si anëtar, qoftë si vëzhgues i përhershëm/partner raportues, për të garantuar që obligimet dhe indikatorët komunalë të strategjisë përcillen sistematikisht dhe raportohen rregullisht. </w:t>
            </w:r>
          </w:p>
        </w:tc>
        <w:tc>
          <w:tcPr>
            <w:tcW w:w="1468" w:type="dxa"/>
          </w:tcPr>
          <w:p w14:paraId="1A9CFFCB"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140DDF2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Përbërja dhe mënyra e përzgjedhjes së anëtarëve të Këshillit rregullohet ashtu që përfaqësuesit e shoqërisë civile përzgjidhen nga vetë organizatat e shoqërisë civile përmes thirrjeve publike per përfaqësues te OJQ-ve, përfshirë edhe përfaqësues nga Platforma CiviKos, duke shmangur favorizimin e ndonjë organizate të veçantë apo përjashtimin e ndonjë organizate tjetër.</w:t>
            </w:r>
          </w:p>
        </w:tc>
      </w:tr>
      <w:tr w:rsidR="00093E56" w14:paraId="2FC446C5" w14:textId="77777777" w:rsidTr="00843505">
        <w:trPr>
          <w:trHeight w:val="3705"/>
        </w:trPr>
        <w:tc>
          <w:tcPr>
            <w:tcW w:w="618" w:type="dxa"/>
          </w:tcPr>
          <w:p w14:paraId="08B8CA6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43A7D0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CIVIKOS</w:t>
            </w:r>
          </w:p>
        </w:tc>
        <w:tc>
          <w:tcPr>
            <w:tcW w:w="2239" w:type="dxa"/>
          </w:tcPr>
          <w:p w14:paraId="42DC6A8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Matshmëria dhe raportimi </w:t>
            </w:r>
            <w:r>
              <w:rPr>
                <w:rFonts w:ascii="Candara" w:eastAsia="Times New Roman" w:hAnsi="Candara" w:cs="Times New Roman"/>
                <w:sz w:val="18"/>
                <w:szCs w:val="18"/>
                <w:lang w:val="sq-AL"/>
              </w:rPr>
              <w:br/>
              <w:t xml:space="preserve">Për të siguruar zbatim real (jo vetëm formal), sugjerojmë që raportimi vjetor të ketë ndarje të qartë “qendror vs lokal” dhe të publikojë një “scorecard” komunal për indikatorët kryesorë (konsultime, financim, pronë publike, kontraktim shërbimesh, vullnetarizëm), me të dhëna të krahasueshme ndër-komunale.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Duke e bërë lokalizimin pjesë integrale të objektivave, masave dhe indikatorëve, Strategjia do të ketë më shumë gjasa të prodhojë ndryshim të matshëm në terren, të rrisë llogaridhënien komunale dhe të mundësojë raportim më të pasur për impaktin e bashkëpunimit komunë–OSHC, në linjë me synimet e dokumentit dhe praktikën e mirë të konsultimeve/monitorimit </w:t>
            </w:r>
          </w:p>
        </w:tc>
        <w:tc>
          <w:tcPr>
            <w:tcW w:w="1468" w:type="dxa"/>
          </w:tcPr>
          <w:p w14:paraId="1CEFEB8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3B2C5BA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Strategjia parasheh një kornizë të dedikuar për monitorim përmes Matricës së Monitorimit dhe Raportimit, e cila do të përdoret për të mbledhur të dhënat për indikatorët relevantë dhe vlerësuar progresin e zbatimit. Ky sistem bazohet në tregues të performancës, të dizajnuar për të matur rezultatet dhe ndikimin në praktikë. Në këtë kontekst, ideja e një “scorecard” nuk është i mundur në këtë fazë ku është Strategjia. </w:t>
            </w:r>
          </w:p>
        </w:tc>
      </w:tr>
      <w:tr w:rsidR="00093E56" w14:paraId="24A7B041" w14:textId="77777777" w:rsidTr="00843505">
        <w:trPr>
          <w:trHeight w:val="7980"/>
        </w:trPr>
        <w:tc>
          <w:tcPr>
            <w:tcW w:w="618" w:type="dxa"/>
          </w:tcPr>
          <w:p w14:paraId="17DBC325"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4DA122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1CF7F08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trajtohet dallimi i pamjaftueshëm i karakteristikave të Organizatave të Shoqërisë Civile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1. Edhe pse Projekt strategjia ofron një pasqyrë të përgjithshme dhe të saktë të gjendjes së shoqërisë civile në Kosovë dhe pasqyron disa nga sfidat kryesore strukturore me të cilat përballen Organizatat e Shoqërisë Civile (OSHC), qasja e saj e trajtimit të shoqërisë civile si një sektor kryesisht homogjen është dobësi e theksuar e dokumentit. Kjo qasje rrezikon të minojë zbatimin praktik të objektivave, aktiviteteve dhe rezultateve të parashikuara.</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Projekt strategjia nuk bën dallim të mjaftueshëm midis OSHC-ve që veprojnë në nivel lokal dhe qendror, OSHC-ve të udhëhequra nga të rinjtë dhe organizatave që punojnë me të rinjtë, OSHC- ve që përfaqësojnë komunitetet joshumicë ose organizatave të personave me aftësi të kufizuara (OPA). Për shembull, organizatat lokale, ato të komuniteteve joshumicë, organizatat e udhëhequra nga të rinjtë dhe të fokusuara te personat me aftësi të kufizuara përballen me pengesa shtesë që kanë të bëjnë me gjuhën, qasjen, shtrirjen dhe besimin institucional. Pa i pranuar këto realitete të ndryshme, ekziston rreziku që Strategjia të propozojë zgjidhje të standardizuara për kushte të pabarabarta në kuptimin </w:t>
            </w:r>
            <w:r>
              <w:rPr>
                <w:rFonts w:ascii="Candara" w:eastAsia="Times New Roman" w:hAnsi="Candara" w:cs="Times New Roman"/>
                <w:sz w:val="18"/>
                <w:szCs w:val="18"/>
                <w:lang w:val="sq-AL"/>
              </w:rPr>
              <w:lastRenderedPageBreak/>
              <w:t xml:space="preserve">strukturor. Kjo mangësi strategjike e qasjes aktuale të Qeverisë u theksua gjatë diskutimeve të Forumit të Shoqërisë Civile (CFS) të OSBE-së të vitit 2025 dhe Raportit të Shoqërisë Civile të vitit 2024 për të Drejtat e Njeriut në Kosovë (CSRHR 2024).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Për këto arsye, rekomandohet që Projekt strategjia t’i pranojë, në mënyrë sistematike, diversitetin dhe karakteristikat e ndryshme të OSHC-ve, si në pjesën e përgjithshme ashtu edhe, kur është e rëndësishme, në formulimin e secilit objektiv të veçantë.</w:t>
            </w:r>
          </w:p>
        </w:tc>
        <w:tc>
          <w:tcPr>
            <w:tcW w:w="1468" w:type="dxa"/>
          </w:tcPr>
          <w:p w14:paraId="6ED292D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1F58970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e OSBE-së për trajtimin e shoqërisë civile si sektor homogjen pranohet si dobësi e identifikuar dhe e dokumentuar. Si adresim konkret, seksioni "Vështrim i përgjithshëm" i Strategjisë është rishikuar për të njohur diversitetin e sektorit, nga organizata me shtrirje kombëtare deri te nisma lokale komunitare, organizata të grave, të personave me aftësi të kufizuara, të komuniteteve jo shumicë dhe grupe rinore, secila me pengesa, kapacitete dhe nevoja të ndryshme. Rishikimi sistematik i të gjithë objektivave specifike për të pasqyruar karakteristika të ndryshme të OShC-ve nuk është i realizueshëm në këtë fazë të procesit, por nevoja për qasje të diferencuara do të merret parasysh gjatë hartimit të instrumenteve zbatues, duke përfshirë manualin e konsultimit dhe kriteret e financimit publik.</w:t>
            </w:r>
          </w:p>
        </w:tc>
      </w:tr>
      <w:tr w:rsidR="00093E56" w14:paraId="0B8E773B" w14:textId="77777777" w:rsidTr="00843505">
        <w:trPr>
          <w:trHeight w:val="8190"/>
        </w:trPr>
        <w:tc>
          <w:tcPr>
            <w:tcW w:w="618" w:type="dxa"/>
          </w:tcPr>
          <w:p w14:paraId="502181FB"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084684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62A058E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zhvillohen edhe më shumë konsultime publike dhe të promovohen korniza të parashikueshme dhe të institucionalizuara bashkëpunimi midis Qeverisë dhe OSHC-ve.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2. Vlerësimi i konsultimeve publike dhe dialogut Qeveri-OSHC në Projekt strategjinë pasqyron me saktësi kontekstin e Kosovës. Ai identifikon saktë mangësitë e vazhdueshme, duke përfshirë pjesëmarrjen e ulët, konsultimet në fazat e vona, mungesën e raporteve të konsultimeve dhe pasqyrimin e kufizuar të kontributit të OSHC-ve në politikat përfundimtare.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Në të njëjtën kohë, teksti i projektit nuk i kap plotësisht dy aspekte të rëndësishme që kanë të bëjnë me rëndësinë dhe vlerën e shtuar potenciale të proceseve të konsultimit për aktorët e shoqërisë civile. Në një anë, ai thekson në masë të madhe përvojën e OSHC-ve të komunitetit shumicë dhe atyre me seli në kryeqytet, ndërkohë që nuk trajton sa duhet pengesat e veçanta me të cilat përballen OSHC-të e komuniteteve jo shumicë, të OPA-ve dhe organizatat lokale, veçanërisht ato që veprojnë në zona të largëta dhe të vështira për t’u arritur, siç janë pengesat gjuhësore, formatet e paarritshme, shtrirja e kufizuar dhe mekanizmat e dobët të reagimit. Nga ana tjetër, me peshë po aq të madhe, Strategjia e përcakton </w:t>
            </w:r>
            <w:r>
              <w:rPr>
                <w:rFonts w:ascii="Candara" w:eastAsia="Times New Roman" w:hAnsi="Candara" w:cs="Times New Roman"/>
                <w:sz w:val="18"/>
                <w:szCs w:val="18"/>
                <w:lang w:val="sq-AL"/>
              </w:rPr>
              <w:lastRenderedPageBreak/>
              <w:t>pjesëmarrjen kryesisht si procedurë konsultative, dhe jo si bashkëpunim të vazhdueshëm dhe të strukturuar.</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Siç vërehet qartë nga CFS dhe CSRHR 2024, angazhimi midis institucioneve dhe OSHC- ve/OPA-ve është shpesh i atypëratyshëm, i varur nga individë të caktuar, dhe ka mungesë të mekanizmave të parashikueshëm dhe të qëndrueshëm për veprime pasuese, zgjidhje të përbashkët të problemeve ose hartim të përbashkët të politikave. Për këtë arsye dhe në përputhje me Rekomandimet e Helsinkit për Angazhim Kuptimplotë me Shoqërinë Civile, OSBE-ja rekomandon që kornizat e bashkëpunimit të institucionalizuar, siç janë organet konsultative të përhershme, grupet tematike të punës, mekanizmat e bashkëpunimit OSHC-komunë dhe marrëveshjet e partneritetit, veçanërisht në fushat e politikave që prekin të drejtat e njeriut, përfshirjen sociale, të rinjtë dhe ofrimin e shërbimeve, të promovohen më qartë në Projekt strategji. 2</w:t>
            </w:r>
          </w:p>
        </w:tc>
        <w:tc>
          <w:tcPr>
            <w:tcW w:w="1468" w:type="dxa"/>
          </w:tcPr>
          <w:p w14:paraId="3C80A210"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2DD6267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e OSBE-së trajton dy shqetësime të dallueshme. Shqetësimi i parë,  barrierat specifike të OShC-ve jo shumicë, OPA-ve dhe organizatave lokale në proceset e konsultimit, pranohet dhe adresohet si element i Objektivit Specifik 1.2 dhe Manualit të konsultimit, siç është pranuar në komentet #124 dhe #126. Shqetësimi i dytë, që strategjia e koncepton pjesëmarrjen kryesisht si procedurë konsultative dhe jo si bashkëpunim të vazhdueshëm dhe të strukturuar, pranohet si vërejtje e vlefshme. Strategjia nuk mund të ndryshojë strukturën e saj bazë në këtë fazë, por angazhimi për mekanizma të institucionalizuar bashkëpunimi, si grupet tematike të punës dhe mekanizmat e bashkëpunimit Qeveri-OShC, do të forcohet në tekstin e SO1 dhe mandatin e Këshillit, duke shkuar përtej modelit të konsultimit procedural.</w:t>
            </w:r>
          </w:p>
        </w:tc>
      </w:tr>
      <w:tr w:rsidR="00093E56" w14:paraId="67AFA328" w14:textId="77777777" w:rsidTr="00843505">
        <w:trPr>
          <w:trHeight w:val="8190"/>
        </w:trPr>
        <w:tc>
          <w:tcPr>
            <w:tcW w:w="618" w:type="dxa"/>
          </w:tcPr>
          <w:p w14:paraId="7380B74C"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C04C68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4E414D36"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forcohen garancitë për pjesëmarrje efektive dhe gjithëpërfshirëse për hartimin e politikave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3. Përderisa Strategjia njeh rëndësinë e përfshirjes së të rinjve, grave, komuniteteve joshumicë dhe personave me aftësi të kufizuara, si dhe njeh ndikimin e kufizuar që këta aktorë shpesh kanë në vendimet përfundimtare të politikave, ajo nuk e trajton aq sa duhet problemin.</w:t>
            </w:r>
            <w:r>
              <w:rPr>
                <w:rFonts w:ascii="Candara" w:eastAsia="Times New Roman" w:hAnsi="Candara" w:cs="Times New Roman"/>
                <w:sz w:val="18"/>
                <w:szCs w:val="18"/>
                <w:lang w:val="sq-AL"/>
              </w:rPr>
              <w:br/>
              <w:t>Siç është cekur në CSRHR të vitit 2024, i referuar saktë në Projekt strategjinë, OPA-të dhe OSHC-të jo shumicë konsultohen shpesh në fazat e mëvonshme të ciklit të politikave, pa standarde adekuate të aksesit, pa interpretim apo burime, dhe rrallëherë marrin fidbek koherent që shpjegon se si janë trajtuar kontributet e tyre. Kjo minon të drejtën për pjesëmarrje efektive në proceset publike dhe kontribuon në mosbesim të vazhdueshëm ndaj institucioneve.</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Këto shqetësime janë nënvizuar si në CSF-në e vitit 2025, ashtu edhe në raportin e zgjerimit të BE-së për Kosovën të vitit 2025 (Raporti i BE-së për Kosovën i vitit 2025).3</w:t>
            </w:r>
            <w:r>
              <w:rPr>
                <w:rFonts w:ascii="Candara" w:eastAsia="Times New Roman" w:hAnsi="Candara" w:cs="Times New Roman"/>
                <w:sz w:val="18"/>
                <w:szCs w:val="18"/>
                <w:lang w:val="sq-AL"/>
              </w:rPr>
              <w:br/>
              <w:t>Për ta trajtuar këtë boshllëk, OSBE-ja rekomandon që Strategjia të përfshijë garanci për pjesëmarrje efektive dhe gjithëpërfshirëse të të gjithë aktorëve të shoqërisë civile në procesin e hartimit të politikave, duke përfshirë, mes tjerash:</w:t>
            </w:r>
            <w:r>
              <w:rPr>
                <w:rFonts w:ascii="Candara" w:eastAsia="Times New Roman" w:hAnsi="Candara" w:cs="Times New Roman"/>
                <w:sz w:val="18"/>
                <w:szCs w:val="18"/>
                <w:lang w:val="sq-AL"/>
              </w:rPr>
              <w:br/>
            </w:r>
            <w:r>
              <w:rPr>
                <w:rFonts w:ascii="Candara" w:eastAsia="Times New Roman" w:hAnsi="Candara" w:cs="Times New Roman"/>
                <w:sz w:val="18"/>
                <w:szCs w:val="18"/>
                <w:lang w:val="sq-AL"/>
              </w:rPr>
              <w:lastRenderedPageBreak/>
              <w:br/>
              <w:t>- Përfshirjen e hershme e OSHC-ve dhe OPA-ve, përfshirë ato që punojnë në nivel lokal, në fazat e përcaktimit të rendit të ditës dhe hartimit të saj;</w:t>
            </w:r>
            <w:r>
              <w:rPr>
                <w:rFonts w:ascii="Candara" w:eastAsia="Times New Roman" w:hAnsi="Candara" w:cs="Times New Roman"/>
                <w:sz w:val="18"/>
                <w:szCs w:val="18"/>
                <w:lang w:val="sq-AL"/>
              </w:rPr>
              <w:br/>
              <w:t>- Formate konsultimi të qasshme, shumëgjuhëshe dhe gjithëpërfshirëse për personat me aftësi të kufizuara;</w:t>
            </w:r>
            <w:r>
              <w:rPr>
                <w:rFonts w:ascii="Candara" w:eastAsia="Times New Roman" w:hAnsi="Candara" w:cs="Times New Roman"/>
                <w:sz w:val="18"/>
                <w:szCs w:val="18"/>
                <w:lang w:val="sq-AL"/>
              </w:rPr>
              <w:br/>
              <w:t>- Përgjigje institucionale të detyrueshme dhe të arsyetuara që shpjegojnë pranimin ose refuzimin e kontributeve të OSHC-ve dhe OPA-ve;</w:t>
            </w:r>
            <w:r>
              <w:rPr>
                <w:rFonts w:ascii="Candara" w:eastAsia="Times New Roman" w:hAnsi="Candara" w:cs="Times New Roman"/>
                <w:sz w:val="18"/>
                <w:szCs w:val="18"/>
                <w:lang w:val="sq-AL"/>
              </w:rPr>
              <w:br/>
              <w:t>- Mekanizmat e transparencës për diskutuesit e palëve të interesuara.</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Duke marrë parasysh se, siç theksohet si në Raportin e BE-së për Kosovën 2025 ashtu edhe në diskutimet e CSF-së 2025, zbatimi i dobët i kornizave pjesëmarrëse minon besimin në politikat publike dhe efektivitetin e tyre, miratimi i mekanizmave të tillë ka potencialin që të rrisë ndjeshëm pjesëmarrjen efektive dhe gjithëpërfshirëse të shoqërisë civile në proceset e hartimit të politikave.</w:t>
            </w:r>
          </w:p>
        </w:tc>
        <w:tc>
          <w:tcPr>
            <w:tcW w:w="1468" w:type="dxa"/>
          </w:tcPr>
          <w:p w14:paraId="3A3BE97C"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2778FDDC"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Shqetësimet e ngritura nga OSBE-ja mbi pjesëmarrjen efektive dhe gjithëpërfshirëse të OPA-ve dhe OShC-ve joshumicë pranohen si të dokumentuara dhe relevante. Disa prej elementeve të propozuara adresohen tashmë: përfshirja e hershme e OShC-ve është pranuar dhe do të integrohet në tekstin e SO1 (rreshti #10); detyrimi për përgjigje institucionale të arsyetuara është i mbështetur në Rregulloren 17/2024 (Neni 53) dhe do të forcohet në SO1; platforma e konsultimit do të avancohet me masa qasshmërie, veçanërisht për personat me aftësi të kufizuara (rreshti #12). Formatet konsultative shumëgjuhëshe dhe mekanizmat e transparencës për grupe joshumicë do të shqyrtohen në kuadër të hartimit të Manualit për zbatimin e standardeve minimale të konsultimit publik, i cili është instrumenti i duhur për detajimin e këtyre angazhimeve.</w:t>
            </w:r>
          </w:p>
        </w:tc>
      </w:tr>
      <w:tr w:rsidR="00093E56" w14:paraId="7AC7AE86" w14:textId="77777777" w:rsidTr="00843505">
        <w:trPr>
          <w:trHeight w:val="5415"/>
        </w:trPr>
        <w:tc>
          <w:tcPr>
            <w:tcW w:w="618" w:type="dxa"/>
          </w:tcPr>
          <w:p w14:paraId="58132540"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7188DB6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2A56898A"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përfshihet një kapitull mbi mësimet e nxjerra dhe të shtjellohen gjetjet nga Raporti për zbatimin e Planit të Veprimit për Strategjinë Qeveritare për Bashkëpunimin e Shoqërisë Civile 2019-2023</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4. Projekt strategjia i referohet në disa raste gjetjeve nga raporti i Zbatimit të Strategjisë për Bashkëpunim me Shoqërinë Civile 2019–2023. 4 Megjithatë, kjo nuk pasqyron aq sa duhet arsyet që kanë të bëjnë me nivelet e ulëta të zbatimit. Çështje të tilla si qasja tejet ambicioze e strategjisë së mëparshme, mungesa e përfshirjes së drejtpërdrejtë të institucioneve përgjegjëse për zbatimin e saj në procesin e hartimit, si dhe llogaridhënia e dobët institucionale, ishin disa nga gjetjet më të rëndësishme të raportit.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Pa një diagnozë më të qartë të mangësive të kaluara, ekziston rreziku që dështime të ngjashme të përsëriten. Një pasqyrim më i thellë për mësimet e nxjerra do ta konsolidonte ndjeshëm Strategjinë e re. Për këtë qëllim, OSBE-ja rekomandon që brenda Strategjisë për vitet 2026- 2023 të përfshihet një pjesë e veçantë dhe e caktuar për mësimet e nxjerra, duke dhënë hollësi këto mangësi dhe duke parashikuar se si të shmangen dhe trajtohen më së miri rezultate të ngjashme.</w:t>
            </w:r>
          </w:p>
        </w:tc>
        <w:tc>
          <w:tcPr>
            <w:tcW w:w="1468" w:type="dxa"/>
          </w:tcPr>
          <w:p w14:paraId="54E73BBD"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45EB9BE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Rekomandimi për pasqyrim më të thellë të mësimeve të nxjerra nga zbatimi i Strategjisë 2019-2023 pranohet si shqetësim i vlefshëm dhe i mbështetur. Shtimi i një kapitulli të veçantë mbi mësimet e nxjerra nuk është i realizueshëm në këtë fazë, pasi do të kërkonte ristrukturim të thellë të dokumentit. Megjithatë, seksioni ekzistues "Të gjeturat nga Raporti mbi zbatimin e Strategjisë 2019-2023" është zhvendosur para seksionit të krahasimit rajonal për të forcuar logjikën argumentuese të dokumentit. Mësimi kryesor i identifikuar nga OSBE-ja, mungesa e përfshirjes së drejtpërdrejtë të institucioneve përgjegjëse dhe llogaridhënia e dobët, është integruar si fjali e qartë në atë seksion, duke e lidhur me angazhimet e Strategjisë 2026-2031 për të shmangur dështime të ngjashme.</w:t>
            </w:r>
          </w:p>
        </w:tc>
      </w:tr>
      <w:tr w:rsidR="00093E56" w14:paraId="11F8656F" w14:textId="77777777" w:rsidTr="00843505">
        <w:trPr>
          <w:trHeight w:val="5985"/>
        </w:trPr>
        <w:tc>
          <w:tcPr>
            <w:tcW w:w="618" w:type="dxa"/>
          </w:tcPr>
          <w:p w14:paraId="597F35D3" w14:textId="77777777" w:rsidR="00093E56" w:rsidRDefault="00093E56">
            <w:pPr>
              <w:pStyle w:val="ListParagraph"/>
              <w:numPr>
                <w:ilvl w:val="0"/>
                <w:numId w:val="1"/>
              </w:numPr>
              <w:spacing w:line="276" w:lineRule="auto"/>
              <w:ind w:left="513" w:hanging="391"/>
              <w:jc w:val="both"/>
              <w:rPr>
                <w:rFonts w:ascii="Candara" w:eastAsia="Times New Roman" w:hAnsi="Candara" w:cs="Times New Roman"/>
                <w:color w:val="000000"/>
                <w:sz w:val="20"/>
                <w:szCs w:val="20"/>
                <w:lang w:val="sq-AL"/>
              </w:rPr>
            </w:pPr>
          </w:p>
        </w:tc>
        <w:tc>
          <w:tcPr>
            <w:tcW w:w="1158" w:type="dxa"/>
          </w:tcPr>
          <w:p w14:paraId="0040D64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5268B6C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merret parasysh shtimi i një aktiviteti të caktuar për vlerësimin dhe vlerësimin e legjislacionit që lidhet me fushën.</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5. Projekt strategjia parashikon hartimin e ligjeve dhe politikave, por e bën këtë pa përfshirë ndonjë aktivitet të veçantë për vlerësimin dhe shqyrtimin e akteve legjislative që janë tashmë në fuqi. Edhe pse disa pjesë kryesore të legjislacionit, siç është Ligji 06/L-043 për Lirinë e Asociimit në Organizatat Joqeveritare (siç është ndryshuar), përmenden, të tjera, siç është Rregullat dhe Procedurat e Këshillit për Bashkëpunim të Qeverisë me Shoqërinë Civile nuk janë aty.5 As Strategjia dhe as Plani i Veprimit për vitet 2026-2028 nuk parashikojnë veprime të përcaktuara për vlerësimin e efikasitetit dhe efektivitetit të akteve ligjore në lidhje me bashkëpunimin e shoqërisë civile. Në këtë drejtim, vlen të përmendet se Rregullorja e Punës së Qeverisë përcakton, si rregull i përgjithshëm, përfundimin e një Dokumenti Konceptual ose të një vlerësimi ex-post të legjislacionit, përpara prezantimit të një legjislacioni të ri.6</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Prandaj, OSBE-ja rekomandon që të përfshihet një aktivitet i caktuar për vlerësimin dhe shqyrtimin e efikasitetit dhe efektivitetit të legjislacionit që ndikon në bashkëpunimin me Shoqërinë Civile në </w:t>
            </w:r>
            <w:r>
              <w:rPr>
                <w:rFonts w:ascii="Candara" w:eastAsia="Times New Roman" w:hAnsi="Candara" w:cs="Times New Roman"/>
                <w:sz w:val="18"/>
                <w:szCs w:val="18"/>
                <w:lang w:val="sq-AL"/>
              </w:rPr>
              <w:lastRenderedPageBreak/>
              <w:t>Kosovë, si në Strategjinë për vitet 2026-2031, ashtu edhe në Planin e Veprimit për vitet 2026-2028.</w:t>
            </w:r>
          </w:p>
        </w:tc>
        <w:tc>
          <w:tcPr>
            <w:tcW w:w="1468" w:type="dxa"/>
          </w:tcPr>
          <w:p w14:paraId="16390CD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Nuk pranohet</w:t>
            </w:r>
          </w:p>
        </w:tc>
        <w:tc>
          <w:tcPr>
            <w:tcW w:w="4957" w:type="dxa"/>
          </w:tcPr>
          <w:p w14:paraId="25ADA75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Rregullorja e Punës së Qeverisë parasheh mekanizma për vlerësimin ex-post të akteve juridike që kanë ndikim të konsiderueshëm, i cili realizohet në bazë të një programi vjetor të miratuar nga Qeveria, me propozim të institucionit përgjegjës. Nevoja për një vlerësim të tillë në këtë fazë ku është Strategjia nuk është identifikuar nga ndonjë institucion përgjegjës. </w:t>
            </w:r>
            <w:r>
              <w:rPr>
                <w:rFonts w:ascii="Candara" w:eastAsia="Times New Roman" w:hAnsi="Candara" w:cs="Times New Roman"/>
                <w:sz w:val="18"/>
                <w:szCs w:val="18"/>
                <w:lang w:val="sq-AL"/>
              </w:rPr>
              <w:br/>
              <w:t>Në këtë kontekst, përfshirja e një aktiviteti specifik dhe detyrues për vlerësimin e akteve ligjore mund të mbetet vetëm në nivel potencial dhe të mos jetë plotësisht i zbatueshëm.</w:t>
            </w:r>
          </w:p>
        </w:tc>
      </w:tr>
      <w:tr w:rsidR="00093E56" w14:paraId="54131B43" w14:textId="77777777" w:rsidTr="00843505">
        <w:trPr>
          <w:trHeight w:val="7980"/>
        </w:trPr>
        <w:tc>
          <w:tcPr>
            <w:tcW w:w="618" w:type="dxa"/>
          </w:tcPr>
          <w:p w14:paraId="0157FDBD"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7ADE7C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55A2301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siguroni integrimin gjinor në të gjithë Projekt strategjinë dhe Planin e Veprimit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6. Projekt strategjia nuk përfshin një perspektivë të duhur gjinore në analizën e saj ose për sa i përket aktiviteteve dhe objektivave të parashikuara. Integrimi efektiv i perspektivës gjinore kërkon përfshirjen e një perspektive gjinore për përcaktimin e problemeve dhe propozimin e zgjidhjeve të politikave. Për ta përmbushur këtë kërkesë nuk mjafton referenca e thjeshtë te Ligji për Barazinë Gjinore gjatë shqyrtimit të legjislacionit në fuqi. Neni 5 i Ligjit për Barazinë Gjinore përcakton që institucionet publike të zbatojnë integrimin gjinor në të gjitha politikat, dokumentet dhe legjislacionin.7</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Prandaj, OSBE-ja rekomandon që disa nga hapat praktikë të mëposhtëm të përfshihen në Projekt strategji:</w:t>
            </w:r>
            <w:r>
              <w:rPr>
                <w:rFonts w:ascii="Candara" w:eastAsia="Times New Roman" w:hAnsi="Candara" w:cs="Times New Roman"/>
                <w:sz w:val="18"/>
                <w:szCs w:val="18"/>
                <w:lang w:val="sq-AL"/>
              </w:rPr>
              <w:br/>
              <w:t>- Të shqyrtohet mundësia e përfshirjes së parimit për barazinë dhe përfshirjen gjinore si pjesë e parimeve udhëzuese të Strategjisë;</w:t>
            </w:r>
            <w:r>
              <w:rPr>
                <w:rFonts w:ascii="Candara" w:eastAsia="Times New Roman" w:hAnsi="Candara" w:cs="Times New Roman"/>
                <w:sz w:val="18"/>
                <w:szCs w:val="18"/>
                <w:lang w:val="sq-AL"/>
              </w:rPr>
              <w:br/>
              <w:t>- Në objektivat strategjike, të shtohet një referencë e qartë për pjesëmarrjen e barabartë të grave dhe burrave në shoqërinë civile, proceset e vendimmarrjes dhe konsultimit;</w:t>
            </w:r>
            <w:r>
              <w:rPr>
                <w:rFonts w:ascii="Candara" w:eastAsia="Times New Roman" w:hAnsi="Candara" w:cs="Times New Roman"/>
                <w:sz w:val="18"/>
                <w:szCs w:val="18"/>
                <w:lang w:val="sq-AL"/>
              </w:rPr>
              <w:br/>
              <w:t>- Të merret parasysh mbështetja e targetuar për OSHC-të e grave në zonat rurale dhe komunitetet joshumicë;</w:t>
            </w:r>
            <w:r>
              <w:rPr>
                <w:rFonts w:ascii="Candara" w:eastAsia="Times New Roman" w:hAnsi="Candara" w:cs="Times New Roman"/>
                <w:sz w:val="18"/>
                <w:szCs w:val="18"/>
                <w:lang w:val="sq-AL"/>
              </w:rPr>
              <w:br/>
            </w:r>
            <w:r>
              <w:rPr>
                <w:rFonts w:ascii="Candara" w:eastAsia="Times New Roman" w:hAnsi="Candara" w:cs="Times New Roman"/>
                <w:sz w:val="18"/>
                <w:szCs w:val="18"/>
                <w:lang w:val="sq-AL"/>
              </w:rPr>
              <w:lastRenderedPageBreak/>
              <w:t>- Të hartohen një doracak dhe udhëzime për ofrimin e shërbimeve për buxhetimin e përgjegjshëm gjinor dhe treguesit e performancës të ndjeshëm ndaj gjinisë.</w:t>
            </w:r>
            <w:r>
              <w:rPr>
                <w:rFonts w:ascii="Candara" w:eastAsia="Times New Roman" w:hAnsi="Candara" w:cs="Times New Roman"/>
                <w:sz w:val="18"/>
                <w:szCs w:val="18"/>
                <w:lang w:val="sq-AL"/>
              </w:rPr>
              <w:br/>
              <w:t>- Të merret parasysh zbatimi i masave afirmative për përfshirjen e grave të reja, grave rurale, grave nga komunitetet joshumicë dhe grave me aftësi të kufizuara;</w:t>
            </w:r>
            <w:r>
              <w:rPr>
                <w:rFonts w:ascii="Candara" w:eastAsia="Times New Roman" w:hAnsi="Candara" w:cs="Times New Roman"/>
                <w:sz w:val="18"/>
                <w:szCs w:val="18"/>
                <w:lang w:val="sq-AL"/>
              </w:rPr>
              <w:br/>
              <w:t>- Platformat përkatëse të raportojnë të dhëna të zbërthyera sipas gjinisë.</w:t>
            </w:r>
          </w:p>
        </w:tc>
        <w:tc>
          <w:tcPr>
            <w:tcW w:w="1468" w:type="dxa"/>
          </w:tcPr>
          <w:p w14:paraId="4A1AA89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7BC1C79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Rekomandimi i OSBE-së për integrimin gjinor të plotë në Strategji pranohet si shqetësim i ligjërisht i mbështetur dhe substantiv, bazuar në Nenin 5 të Ligjit Nr. 05/L-020 për Barazi Gjinore. Disa prej elementeve të propozuara janë pranuar tashmë në kuadër të komenteve të tjera. Për elementet e mbetura, integrimi gjinor do të trajtohet si parim ndërsektorial i Strategjisë dhe do të reflektohet në versionin final, duke përfshirë referencën për pjesëmarrje të barabartë në proceset e konsultimit dhe vendimmarrjes. Nevoja për qasje të barabartë në mekanizmat e financimit publik për të gjitha OShC-të, pavarësisht vendndodhjes dhe fokusit tematik, reflektohet në angazhimet e SO2 për procedura transparente dhe gjithëpërfshirëse të financimit. Parimet e buxhetimit të përgjegjshëm gjinor dhe treguesit e ndjeshëm ndaj gjinisë do të integrohen si element i trajnimit të stafit në SO3.</w:t>
            </w:r>
          </w:p>
        </w:tc>
      </w:tr>
      <w:tr w:rsidR="00093E56" w14:paraId="06BA69EE" w14:textId="77777777" w:rsidTr="00843505">
        <w:trPr>
          <w:trHeight w:val="6270"/>
        </w:trPr>
        <w:tc>
          <w:tcPr>
            <w:tcW w:w="618" w:type="dxa"/>
          </w:tcPr>
          <w:p w14:paraId="7C09BBB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C736EA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1368598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merret parasysh trajtimi i përgjegjësive të shtuara të institucioneve publike të angazhuara.</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7. Duke pasur parasysh përgjegjësitë e shtuara të monitorimit dhe vlerësimit të parashikuara për disa institucione publike, Strategjia duhet t’i trajtojë në mënyrë të duhur çështjet përkatëse të personelit, duke përfshirë, mes tjerash, Zyrën për Qeverisje të Mirë (ZQM). Në Projekt strategji, rregullimet e parashikuara të stafit janë të kufizuara në personelin për të monitoruar platformën përmes internetit. Megjithatë, ZQM-ja dhe institucionet e tjera përkatëse kanë nevojë për kapacitete që pasqyrojnë përgjegjësitë e shtuara për zbatim dhe monitorim.</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Prandaj, OSBE-ja rekomandon që të ndërmerren veprime të posaçme për të vlerësuar, shqyrtuar dhe trajtuar nevojat në rritje e sipër për personel të institucioneve publike përkatëse, në mënyrë që këto kapacitete të plotësojnë në mënyrë efektive zbatimin e objektivave strategjike.</w:t>
            </w:r>
          </w:p>
        </w:tc>
        <w:tc>
          <w:tcPr>
            <w:tcW w:w="1468" w:type="dxa"/>
          </w:tcPr>
          <w:p w14:paraId="253F629E"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0BB7015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Strategjia parasheh nevojën për forcimin e kapaciteteve të Zyrës për Qeverisje të Mirë, por si dokument kornizë nuk përcakton në mënyrë të detajuar strukturat organizative apo numrin e stafit për institucionet përgjegjëse. Gjithsesi ZQM/ZKM ka tash edhe staf shtese per te ndihmuar zbatimin e Strategjisë se re.  Për bashkëpunimin me shoqërinë civile janë përgjegjës nje zyrtar i lartë për qeverisje të mirë në Zyrën për Qeverisje të Mirë; një zyrtari i lartë për bashkëpunim dhe financim publik të OJQ-ve në Zyrën për Qeverisje të Mirë dhe eksperti për shërbime të veçanta në Zyrën për Qeverisje të Mirë , i angazhuar për administrimin dhe menaxhimin e platformave për konsultime me publikun, financim publik të OJQ-ve dhe çështje të tjera të IT-së që lidhen me procesin e bashkëpunimit ndërmjet Qeverisë dhe shoqërisë civile . Çështjet që lidhen me burimet njerëzore dhe organizimin institucional trajtohen përmes proceseve të brendshme të planifikimit institucional dhe buxhetor, në përputhje me legjislacionin në fuqi, dhe tejkalojnë fushëveprimin e Strategjisë. Aktualisht ZQM do te filloj se zbatuari projektin e përbashkët të Bashkimit Evropian “Support for the Implementation of the Government of Kosovo’s Strategy for Civil Society 2026–2031”, i cili synon forcimin e kapaciteteve institucionale për konsultime publike dhe bashkëpunim me shoqërinë civile, avancimin e mekanizmave të pjesëmarrjes qytetare, përmirësimin e transparencës dhe llogaridhënies institucionale, si dhe harmonizimin e praktikave kombëtare me standardet dhe parimet evropiane të qeverisjes së mirë.</w:t>
            </w:r>
          </w:p>
        </w:tc>
      </w:tr>
      <w:tr w:rsidR="00093E56" w14:paraId="4EA1F92B" w14:textId="77777777" w:rsidTr="00843505">
        <w:trPr>
          <w:trHeight w:val="3135"/>
        </w:trPr>
        <w:tc>
          <w:tcPr>
            <w:tcW w:w="618" w:type="dxa"/>
          </w:tcPr>
          <w:p w14:paraId="387E7959"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7021369"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55AF994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Vullnetarizmi</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Të shmangen referencat ndaj legjislacionit që nuk është më në fuqi</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8. Në faqen 18 të projekt Strategjisë, ku trajtohet Vullnetarizmi, teksti i referohet një versioni të vjetërsuar të legjislacionit në fuqi, në veçanti Ligjit për Rininë. Versioni i ri i këtij akti legjislativ është Ligji nr. 08/L-264 që hyri në fuqi në vitin 2024.8 Kjo ka pasoja të konsiderueshme pasi përkufizimi i të rinjve sipas Ligjit të shfuqizuar e kufizonte fushëveprimin e tij vetëm tek individët e moshës 15-24 vjeç, ndërsa përkufizimi aktual përfshin personat e moshës 15-29 vjeç.</w:t>
            </w:r>
          </w:p>
        </w:tc>
        <w:tc>
          <w:tcPr>
            <w:tcW w:w="1468" w:type="dxa"/>
          </w:tcPr>
          <w:p w14:paraId="4C99305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2BE0156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Korrigjimi faktik pranohet. Referenca ndaj Ligjit Nr. 03/L-145 për Fuqizimin dhe Pjesëmarrjen e Rinisë, i cili është shfuqizuar, zëvendësohet me Ligjin Nr. 08/L-264 i cili hyri në fuqi në vitin 2024. Në përputhje me këtë, mosha e të rinjve përditësohet nga 15-24 në 15-29 vjeç në të gjitha referencat përkatëse të Strategjisë.</w:t>
            </w:r>
          </w:p>
        </w:tc>
      </w:tr>
      <w:tr w:rsidR="00093E56" w14:paraId="6163E76D" w14:textId="77777777" w:rsidTr="00843505">
        <w:trPr>
          <w:trHeight w:val="8190"/>
        </w:trPr>
        <w:tc>
          <w:tcPr>
            <w:tcW w:w="618" w:type="dxa"/>
          </w:tcPr>
          <w:p w14:paraId="36E0BDEA"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66E284E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1B12B73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Plani i Veprimit 2026 - 2028</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Të konsiderohet përfshirja e treguesve shtesë, parimeve të menaxhimit të bazuara në rezultate dhe mjeteve të verifikimit brenda Planit të Veprimit.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9. Treguesit në Planin e Veprimit mbeten kryesisht të orientuar drejt rezultateve (p.sh., numri i takimeve ose trajnimeve). Treguesit nuk kapin sa duhet rezultatet që kanë të bëjnë me cilësinë e bashkëpunimit, ndikimin dhe besimin. Përfshirja e parimeve të Menaxhimit të Bazuar në Rezultate (RBM) mund të përmirësojë ndjeshëm vlerësimin e zbatimit dhe ndikimin praktik të Strategjisë. Matja e treguesve të tillë si a) miratimi i kontributeve të OSHC-ve dhe OPA-ve në politikat përfundimtare; b) vazhdimësia dhe rregullsia e mekanizmave të bashkëpunimit; c) dobia e perceptuar e angazhimit nga OSHC-të dhe OPA, duhet të merret parasysh shumë gjatë miratimit të tekstit përfundimtar të Planit të Veprimit.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Zbërthimi/ndarja sipas llojit të organizatës (OSHC/OPA/të rinj/të drejtat e grave/komunitete joshumicë), nivelit (qendror/lokal) dhe, kur është e mundur, sipas gjinisë, moshës, përkatësisë në komunitet dhe aftësisë së kufizuar, është gjithashtu thelbësore për vlerësimin e përfshirjes dhe mosdiskriminimit në </w:t>
            </w:r>
            <w:r>
              <w:rPr>
                <w:rFonts w:ascii="Candara" w:eastAsia="Times New Roman" w:hAnsi="Candara" w:cs="Times New Roman"/>
                <w:sz w:val="18"/>
                <w:szCs w:val="18"/>
                <w:lang w:val="sq-AL"/>
              </w:rPr>
              <w:lastRenderedPageBreak/>
              <w:t>përputhje me standardet e monitorimit të të drejtave të njeriut.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Në projekt Planin e Veprimit, mjetet e verifikimit mbështeten shumë në platformat digjitale dhe në të dhënat administrative. Për të kapur cilësinë e bashkëpunimit dhe për të shmangur përjashtimin, veçanërisht të organizatave rurale, të komuniteteve joshumicë dhe të OSHC-ve të fokusuara në aftësi të kufizuara, ato duhet të përfshijnë gjithashtu raportet e konsultimeve, matricat e përgjigjeve ndaj komenteve, procesverbalet e takimeve të përbashkëta, anketat e informatave kthyese si dhe metodat fizike të verifikimit.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Duke marrë parasysh si më sipër, OSBE-ja rekomandon futjen e treguesve shtesë që bazohen në parimet e RBM-së. Për më tepër, në Planin e Veprimit për vitet 2026-2028 duhet të përfshihet një informacion më i besueshëm në lidhje me zbërthimin/ndarjen e palëve të interesit dhe pjesëmarrësve të shoqërisë civile, si dhe metoda verifikimi që nuk mbështeten vetëm në internet, për të shmangur përjashtimin, veçanërisht të organizatave rurale, të komuniteteve joshumicë dhe të fokusuara tek personat me aftësi të kufizuara.</w:t>
            </w:r>
          </w:p>
        </w:tc>
        <w:tc>
          <w:tcPr>
            <w:tcW w:w="1468" w:type="dxa"/>
          </w:tcPr>
          <w:p w14:paraId="380C8703"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53A44E7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Sa i përket zbërthimit/ndarjes së llojit të organizatave, seksioni "Vështrim i përgjithshëm" i Strategjisë është rishikuar për të njohur diversitetin e sektorit, nga organizata me shtrirje në të gjithë vendin deri te nisma lokale komunitare, organizata të grave, të personave me aftësi të kufizuara, të komuniteteve jo shumicë dhe grupe rinore. Rishikimi sistematik i të gjithë objektivave specifike për të pasqyruar karakteristika të ndryshme të OShC-ve nuk është i realizueshëm në këtë fazë të procesit, por nevoja për qasje të diferencuara do të merret parasysh gjatë hartimit të instrumenteve zbatues, duke përfshirë manualin e konsultimit publik.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Sa i përket raporteve të konsultimit dhe përgjigjet ndaj komenteve të publikut, pas fjalisë "Meqë angazhimi i palëve të interesuara në procesin e konsultimit, veçanërisht OShC-të kërkon burime dhe ekspertizë të mjaftueshme, duhet të ketë planifikim më të mirë dhe informacion në kohë për palët e interesuara përpara se të fillojë procesi i konsultimit." shtohet fjalia "Gjithashtu, duhet të ketë kthim të rregullt të feedback-ut institucional, duke rritur transparencën mbi mënyrën se si kontributet e OShC-ve merren parasysh dhe reflektohen në dokumentet finale të politikave dhe legjislacionit, ose arsyet për pranimin e pjesshëm ose mospranimin e tyre". Treguesi 4 i objektivit specifik 2 në kuadër të objektivit strategjik 1 parasheh një matës konkret për ofrimin e feedback-ut institucional. Megjithatë, vendosja e objektivave të matshme, si p.sh. në terma përqindjeje, lidhur me nivelin e pranimit të kontributeve nuk është e realizueshme për shkak se shkalla e pranimit të komenteve varet edhe nga relevanca dhe zbatueshmëria e tyre në raport me përmbajtjen e politikave apo legjislacionit në shqyrtim.</w:t>
            </w:r>
          </w:p>
        </w:tc>
      </w:tr>
      <w:tr w:rsidR="00093E56" w14:paraId="10D6B99F" w14:textId="77777777" w:rsidTr="00843505">
        <w:trPr>
          <w:trHeight w:val="4845"/>
        </w:trPr>
        <w:tc>
          <w:tcPr>
            <w:tcW w:w="618" w:type="dxa"/>
          </w:tcPr>
          <w:p w14:paraId="50B22E8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EAF69B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OSCE</w:t>
            </w:r>
          </w:p>
        </w:tc>
        <w:tc>
          <w:tcPr>
            <w:tcW w:w="2239" w:type="dxa"/>
          </w:tcPr>
          <w:p w14:paraId="0A76D98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Të sqarohen përgjegjësitë institucionale në projekt Plani e Veprimit</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10. Përkufizimi “institucione udhëheqëse dhe mbështetëse” që përdoret në projektplanin e veprimit është shumë i gjerë, duke krijuar paqartësi në atë se cilat institucione kanë përgjegjësinë aktuale për veprime të caktuara. Shtimi i shprehjes “ministritë e tjera” sjell mospërputhje dhe pasiguri shtesë. Duke pasur parasysh shkallën e ulët të zbatimit të Strategjisë dhe Planit të Veprimit të mëparshëm, është thelbësor një konfirmim më i qartë i angazhimit institucional.</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Për këtë arsye, OSBE-ja rekomandon që të ndërmerren hapa shtesë për t’i identifikuar qartas institucionet e veçanta përgjegjëse për secilin objektiv dhe veprimin përkatës. Kur nuk është e mundur të përcaktohet një institucion përgjegjës në këtë fazë, preferohet që të përcaktohen kritere të qarta përkufizimi që do të lejonin caktimin e përgjegjësisë në një fazë të mëvonshme (për shembull, “Ministria përgjegjëse për...”).</w:t>
            </w:r>
          </w:p>
        </w:tc>
        <w:tc>
          <w:tcPr>
            <w:tcW w:w="1468" w:type="dxa"/>
          </w:tcPr>
          <w:p w14:paraId="0C833622"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 xml:space="preserve">Pranohet </w:t>
            </w:r>
          </w:p>
        </w:tc>
        <w:tc>
          <w:tcPr>
            <w:tcW w:w="4957" w:type="dxa"/>
          </w:tcPr>
          <w:p w14:paraId="20C06B0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Rekomandimi është pranuar. Është vlerësuar nevoja për një qartësim më të madh të roleve dhe përgjegjësive të institucioneve udhëheqëse, duke përcaktuar se institucioni i parë i listuar konsiderohet institucioni përgjegjës dhe bartësi kryesor i zbatimit të aktivitetit, ndërsa institucionet e tjera kanë rol mbështetës ose veprojnë si bashkëpunëtorë/partnerë në realizimin e tij. Ky qartësim do të kontribuojë në rritjen e llogaridhënies dhe koordinimit ndërinstitucional gjatë zbatimit të aktiviteteve.</w:t>
            </w:r>
          </w:p>
        </w:tc>
      </w:tr>
      <w:tr w:rsidR="00093E56" w14:paraId="795C1690" w14:textId="77777777" w:rsidTr="00843505">
        <w:trPr>
          <w:trHeight w:val="3990"/>
        </w:trPr>
        <w:tc>
          <w:tcPr>
            <w:tcW w:w="618" w:type="dxa"/>
          </w:tcPr>
          <w:p w14:paraId="189BC695"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2B1DEFF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368C76A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1. Roli i shoqërisë civile në avokimin për të drejtat e personave me aftësi të kufizuara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Strategjia e njeh shoqërinë civile si aktor që avokon për të drejtat e personave me aftësi të kufizuara, krahas barazisë gjinore dhe të drejtave të komuniteteve jo-shumicë.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Kjo përmendje është në nivel narrativ dhe nuk përkthehet në masa konkrete që garantojnë përfshirjen e organizatave të personave me aftësi të kufizuara në mekanizmat e strategjisë.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r>
            <w:r>
              <w:rPr>
                <w:rFonts w:ascii="Candara" w:eastAsia="Times New Roman" w:hAnsi="Candara" w:cs="Times New Roman"/>
                <w:i/>
                <w:iCs/>
                <w:sz w:val="18"/>
                <w:szCs w:val="18"/>
                <w:lang w:val="sq-AL"/>
              </w:rPr>
              <w:t>"Mekanizmat e propozuar nuk operacionalizojnë rolin e organizatave të personave me aftësi të kufizuara, dhe kjo rrezikon që përfshirja të mbetet vetëm deklarative dhe jo e garantuar në praktikë.”</w:t>
            </w:r>
          </w:p>
        </w:tc>
        <w:tc>
          <w:tcPr>
            <w:tcW w:w="1468" w:type="dxa"/>
          </w:tcPr>
          <w:p w14:paraId="45B1CCC6"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5109A06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Mungon rekomandimi specifik.</w:t>
            </w:r>
          </w:p>
        </w:tc>
      </w:tr>
      <w:tr w:rsidR="00093E56" w14:paraId="27ACEC52" w14:textId="77777777" w:rsidTr="00843505">
        <w:trPr>
          <w:trHeight w:val="3420"/>
        </w:trPr>
        <w:tc>
          <w:tcPr>
            <w:tcW w:w="618" w:type="dxa"/>
          </w:tcPr>
          <w:p w14:paraId="5CDA8F8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7C0A8D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451B5EC2"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2. OPD-të si grupe të nën-përfaqësuara në konsultime publike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Duke iu referu Raportit të BE-së, dokumenti pranon se organizatat e personave me nevoja të vecanta nuk përfshihen në mënyrë sistematike në konsultimet publike dhe kanë kohë të pamjaftueshme për kontribut.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Strategjia identifikon problemin, por nuk parasheh masa korrigjuese për ta adresua këtë nën-përfaqësim.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r>
            <w:r>
              <w:rPr>
                <w:rFonts w:ascii="Candara" w:eastAsia="Times New Roman" w:hAnsi="Candara" w:cs="Times New Roman"/>
                <w:i/>
                <w:iCs/>
                <w:sz w:val="18"/>
                <w:szCs w:val="18"/>
                <w:lang w:val="sq-AL"/>
              </w:rPr>
              <w:t xml:space="preserve">“Në mungesë të masave të detyrueshme për përfshirje </w:t>
            </w:r>
            <w:r>
              <w:rPr>
                <w:rFonts w:ascii="Candara" w:eastAsia="Times New Roman" w:hAnsi="Candara" w:cs="Times New Roman"/>
                <w:i/>
                <w:iCs/>
                <w:sz w:val="18"/>
                <w:szCs w:val="18"/>
                <w:lang w:val="sq-AL"/>
              </w:rPr>
              <w:lastRenderedPageBreak/>
              <w:t xml:space="preserve">në faza të hershme dhe akomodim të arsyeshëm, nën-përfaqësimi i OPD-ve rrezikon të vazhdojë gjatë zbatimit të strategjisë.” </w:t>
            </w:r>
          </w:p>
        </w:tc>
        <w:tc>
          <w:tcPr>
            <w:tcW w:w="1468" w:type="dxa"/>
          </w:tcPr>
          <w:p w14:paraId="460F19F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w:t>
            </w:r>
          </w:p>
        </w:tc>
        <w:tc>
          <w:tcPr>
            <w:tcW w:w="4957" w:type="dxa"/>
          </w:tcPr>
          <w:p w14:paraId="4C63B1E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Plani i Veprimit përfshin aktivitete konkrete që synojnë përmirësimin e përfshirjes në konsultime publike të personave me aftësi të kufizuara. Në veçanti, parashihet përgatitja dhe përditësimi i videove/tutorialeve për përdorimin e platformës së konsultimeve nga personat me aftësi të kufizuara, si dhe transmetimi i tyre përmes platformave online, mediave tradicionale dhe rrjeteve sociale. Ky aktivitet do të kontribuojë në rritjen e qasjes dhe informimit për personat me aftësi të kufizuara, duke adresuar një pjesë të barrierave praktike në pjesëmarrje. </w:t>
            </w:r>
          </w:p>
        </w:tc>
      </w:tr>
      <w:tr w:rsidR="00093E56" w14:paraId="172630BF" w14:textId="77777777" w:rsidTr="00843505">
        <w:trPr>
          <w:trHeight w:val="3420"/>
        </w:trPr>
        <w:tc>
          <w:tcPr>
            <w:tcW w:w="618" w:type="dxa"/>
          </w:tcPr>
          <w:p w14:paraId="2FF2D3DE"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11B6A97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27900E7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3. Barrierat në qasje dhe pjesëmarrje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Dokumenti pranon se grupet vulnerabël, përfshirë personat me aftësi të kufizuara, përballen me barriera në qasje, pjesëmarrje dhe ndikim real në vendimmarrje.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Pa standarde të detyrueshme të qasjes dhe përfaqësimit, identifikimi i barrierave nuk prodhon ndryshim strukturor.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r>
            <w:r>
              <w:rPr>
                <w:rFonts w:ascii="Candara" w:eastAsia="Times New Roman" w:hAnsi="Candara" w:cs="Times New Roman"/>
                <w:i/>
                <w:iCs/>
                <w:sz w:val="18"/>
                <w:szCs w:val="18"/>
                <w:lang w:val="sq-AL"/>
              </w:rPr>
              <w:t xml:space="preserve">“Qasja formale në konsultime nuk garanton pjesëmarrje reale për organizatat e personave me aftësi të kufizuara pa standarde të qarta dhe të detyrueshme të qasjes.” </w:t>
            </w:r>
          </w:p>
        </w:tc>
        <w:tc>
          <w:tcPr>
            <w:tcW w:w="1468" w:type="dxa"/>
          </w:tcPr>
          <w:p w14:paraId="5C8731E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4992933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Plani i Veprimit përfshin aktivitete konkrete që synojnë përmirësimin e përfshirjes në konsultime publike të personave me aftësi të kufizuara. Në veçanti, parashihet përgatitja dhe përditësimi i videove/tutorialeve për përdorimin e platformës së konsultimeve nga personat me aftësi të kufizuara, si dhe transmetimi i tyre përmes platformave online, mediave tradicionale dhe rrjeteve sociale. Ky aktivitet do të kontribuojë në rritjen e qasjes dhe informimit për personat me aftësi të kufizuara, duke adresuar një pjesë të barrierave praktike në pjesëmarrje. </w:t>
            </w:r>
          </w:p>
        </w:tc>
      </w:tr>
      <w:tr w:rsidR="00093E56" w14:paraId="7643E9CE" w14:textId="77777777" w:rsidTr="00843505">
        <w:trPr>
          <w:trHeight w:val="3420"/>
        </w:trPr>
        <w:tc>
          <w:tcPr>
            <w:tcW w:w="618" w:type="dxa"/>
          </w:tcPr>
          <w:p w14:paraId="2F28D6B8"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4CC227AF"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4F79526B"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4. Përmirësimet e platformës online për Personat me Aftësi të Kufizuar (PAK).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Strategjia thekson se platforma online ka shënuar përmirësime në qasje për personat me aftësi të kufizuara, por efektiviteti i saj mbetet i kufizuar.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t xml:space="preserve">Përmirësimet teknike nuk janë të mjaftueshme nëse </w:t>
            </w:r>
            <w:r>
              <w:rPr>
                <w:rFonts w:ascii="Candara" w:eastAsia="Times New Roman" w:hAnsi="Candara" w:cs="Times New Roman"/>
                <w:sz w:val="18"/>
                <w:szCs w:val="18"/>
                <w:lang w:val="sq-AL"/>
              </w:rPr>
              <w:lastRenderedPageBreak/>
              <w:t xml:space="preserve">nuk ka monitorim, indikatorë dhe obligim institucional. </w:t>
            </w:r>
            <w:r>
              <w:rPr>
                <w:rFonts w:ascii="Candara" w:eastAsia="Times New Roman" w:hAnsi="Candara" w:cs="Times New Roman"/>
                <w:sz w:val="18"/>
                <w:szCs w:val="18"/>
                <w:lang w:val="sq-AL"/>
              </w:rPr>
              <w:br/>
            </w:r>
            <w:r>
              <w:rPr>
                <w:rFonts w:ascii="Candara" w:eastAsia="Times New Roman" w:hAnsi="Candara" w:cs="Times New Roman"/>
                <w:sz w:val="18"/>
                <w:szCs w:val="18"/>
                <w:lang w:val="sq-AL"/>
              </w:rPr>
              <w:br/>
            </w:r>
            <w:r>
              <w:rPr>
                <w:rFonts w:ascii="Candara" w:eastAsia="Times New Roman" w:hAnsi="Candara" w:cs="Times New Roman"/>
                <w:i/>
                <w:iCs/>
                <w:sz w:val="18"/>
                <w:szCs w:val="18"/>
                <w:lang w:val="sq-AL"/>
              </w:rPr>
              <w:t xml:space="preserve">“Përmirësimet e platformës online duhet të shoqërohen me standarde të detyrueshme të qasjes dhe mekanizma monitorimi për të garantuar pjesëmarrje të barabartë.” </w:t>
            </w:r>
          </w:p>
        </w:tc>
        <w:tc>
          <w:tcPr>
            <w:tcW w:w="1468" w:type="dxa"/>
          </w:tcPr>
          <w:p w14:paraId="7C5BB7A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w:t>
            </w:r>
          </w:p>
        </w:tc>
        <w:tc>
          <w:tcPr>
            <w:tcW w:w="4957" w:type="dxa"/>
          </w:tcPr>
          <w:p w14:paraId="65A140E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e KDF-së pranohet. Përmirësimet teknike të platformës online janë të nevojshme por të pamjaftueshme pa standarde të detyrueshme të aksesueshmërisë dhe mekanizma monitorimi. Kosova ka detyrime ndërkombëtare sipas Konventës së OKB-së për të Drejtat e Personave me Aftësi të Kufizuara (CRPD), të cilat kërkojnë qasje të barabartë në shërbimet dhe platformat dixhitale publike. Standarde të detyrueshme të aksesueshmërisë dhe tregues monitorimi për pjesëmarrjen e PAK-ut do të konsiderohen si element i Objektivit Specifik 1.2 (Përmirësimi/avancimi i Platformës Online për Konsultimet Publike), duke e kthyer angazhimin nga deklarativ në të matshëm.</w:t>
            </w:r>
          </w:p>
        </w:tc>
      </w:tr>
      <w:tr w:rsidR="00093E56" w14:paraId="04EEB01C" w14:textId="77777777" w:rsidTr="00843505">
        <w:trPr>
          <w:trHeight w:val="2280"/>
        </w:trPr>
        <w:tc>
          <w:tcPr>
            <w:tcW w:w="618" w:type="dxa"/>
          </w:tcPr>
          <w:p w14:paraId="266D88C3"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3245D4E"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351C699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Në kuadër të Objektivit Strategjik 1, rekomandojmë që standardet e qasjes dhe akomodimit të arsyeshëm të bëhen të detyrueshme për të gjitha proceset e konsultimit publik, përfshirë platformën online, dokumentet në formate të qasshme dhe përfshirjen e organizatave të personave me aftësi të kufizuara në faza të hershme të politikë bërjes.  </w:t>
            </w:r>
          </w:p>
        </w:tc>
        <w:tc>
          <w:tcPr>
            <w:tcW w:w="1468" w:type="dxa"/>
          </w:tcPr>
          <w:p w14:paraId="1E0B305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w:t>
            </w:r>
          </w:p>
        </w:tc>
        <w:tc>
          <w:tcPr>
            <w:tcW w:w="4957" w:type="dxa"/>
          </w:tcPr>
          <w:p w14:paraId="2E4AC184"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Plani i Veprimit përfshin aktivitete konkrete që synojnë përmirësimin e përfshirjes në konsultime publike të personave me aftësi të kufizuara. Në veçanti, parashihet përgatitja dhe përditësimi i videove/tutorialeve për përdorimin e platformës së konsultimeve nga personat me aftësi të kufizuara, si dhe transmetimi i tyre përmes platformave online, mediave tradicionale dhe rrjeteve sociale. Ky aktivitet do të kontribuojë në rritjen e qasjes dhe informimit për personat me aftësi të kufizuara, duke adresuar një pjesë të barrierave praktike në pjesëmarrje. </w:t>
            </w:r>
          </w:p>
        </w:tc>
      </w:tr>
      <w:tr w:rsidR="00093E56" w14:paraId="49BC7BCC" w14:textId="77777777" w:rsidTr="00843505">
        <w:trPr>
          <w:trHeight w:val="3420"/>
        </w:trPr>
        <w:tc>
          <w:tcPr>
            <w:tcW w:w="618" w:type="dxa"/>
          </w:tcPr>
          <w:p w14:paraId="53E6DCC4"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AB026B0"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32C925D3"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Në lidhje me Objektivin Strategjik 2, strategjia duhet të adresojë në mënyrë specifike barrierat strukturore që përballin organizatat e personave me aftësi të kufizuara në qasjen në financim publik, përfshirë njohjen e kostove shtesë që lidhen me ofrimin e akomodimit të arsyeshëm dhe shërbimeve mbështetëse. Rekomandohet krijimi i mekanizmave të përshtatur të financimit që sigurojnë barazi reale në konkurrencë. </w:t>
            </w:r>
          </w:p>
        </w:tc>
        <w:tc>
          <w:tcPr>
            <w:tcW w:w="1468" w:type="dxa"/>
          </w:tcPr>
          <w:p w14:paraId="69BCDB1A"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Pranohet pjesërisht</w:t>
            </w:r>
          </w:p>
        </w:tc>
        <w:tc>
          <w:tcPr>
            <w:tcW w:w="4957" w:type="dxa"/>
          </w:tcPr>
          <w:p w14:paraId="0D2E7147"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Vërejtja e KDF-së pranohet si shqetësim i mbështetur ligjërisht. Konventa e OKB-së për të Drejtat e Personave me Aftësi të Kufizuara (CRPD) e njeh parimin e akomodimit të arsyeshëm, sipas të cilit trajtimi formal i barabartë i kushteve të pabarabarta strukturore nuk garanton barazi reale. Kostot shtesë që OPA-të përballojnë, si hapësirat e qasshme, interpretimi, teknologjia ndihmëse, mund të ndikojnë negativisht në konkurueshmërinë e tyre në thirrjet publike. Strategjia angazhohet që gjatë rishikimit të kritereve dhe standardeve të financimit publik (OS 2.1), të shqyrtohet mundësia e njohjes së kostove shtesë të lidhura me akomodimin e arsyeshëm, me qëllim të garantimit të qasjes së barabartë reale të OPA-ve në financimin publik.</w:t>
            </w:r>
          </w:p>
        </w:tc>
      </w:tr>
      <w:tr w:rsidR="00093E56" w14:paraId="7BFD937B" w14:textId="77777777" w:rsidTr="00843505">
        <w:trPr>
          <w:trHeight w:val="1425"/>
        </w:trPr>
        <w:tc>
          <w:tcPr>
            <w:tcW w:w="618" w:type="dxa"/>
          </w:tcPr>
          <w:p w14:paraId="5EE61421"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3B9F19B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61AA789D"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Sa i përket kontraktimit të shërbimeve publike, strategjia duhet të parashohë në mënyrë eksplicite përfshirjen e OPD-ve në ofrimin e shërbimeve komunitare dhe sociale, </w:t>
            </w:r>
            <w:r>
              <w:rPr>
                <w:rFonts w:ascii="Candara" w:eastAsia="Times New Roman" w:hAnsi="Candara" w:cs="Times New Roman"/>
                <w:sz w:val="18"/>
                <w:szCs w:val="18"/>
                <w:lang w:val="sq-AL"/>
              </w:rPr>
              <w:lastRenderedPageBreak/>
              <w:t xml:space="preserve">duke garantuar kritere të qarta të qasjes dhe gjithë përfshirjes në procedurat e kontraktimit. </w:t>
            </w:r>
          </w:p>
        </w:tc>
        <w:tc>
          <w:tcPr>
            <w:tcW w:w="1468" w:type="dxa"/>
          </w:tcPr>
          <w:p w14:paraId="63E217E5"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lastRenderedPageBreak/>
              <w:t>Pranohet pjesërisht</w:t>
            </w:r>
          </w:p>
        </w:tc>
        <w:tc>
          <w:tcPr>
            <w:tcW w:w="4957" w:type="dxa"/>
          </w:tcPr>
          <w:p w14:paraId="73BB8581"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Ky aspekt do të trajtohet më tej në nivel zbatues përmes përgatitjes së Manualit udhëzues për kontraktimin e OSHC-ve për ofrimin e shërbimeve publike, përmes së cilit do të mund të adresohen në mënyrë më të detajuar çështjet e qasjes dhe gjithë përfshirjes së grupeve të ndryshme të OShC-ve, përfshirë OPD-të, në procedurat e kontraktimit.</w:t>
            </w:r>
          </w:p>
        </w:tc>
      </w:tr>
      <w:tr w:rsidR="00093E56" w14:paraId="444803E0" w14:textId="77777777" w:rsidTr="00843505">
        <w:trPr>
          <w:trHeight w:val="1140"/>
        </w:trPr>
        <w:tc>
          <w:tcPr>
            <w:tcW w:w="618" w:type="dxa"/>
          </w:tcPr>
          <w:p w14:paraId="4A0FCBFF" w14:textId="77777777" w:rsidR="00093E56" w:rsidRDefault="00093E56">
            <w:pPr>
              <w:pStyle w:val="ListParagraph"/>
              <w:numPr>
                <w:ilvl w:val="0"/>
                <w:numId w:val="1"/>
              </w:numPr>
              <w:spacing w:line="276" w:lineRule="auto"/>
              <w:jc w:val="both"/>
              <w:rPr>
                <w:rFonts w:ascii="Candara" w:eastAsia="Times New Roman" w:hAnsi="Candara" w:cs="Times New Roman"/>
                <w:color w:val="000000"/>
                <w:sz w:val="20"/>
                <w:szCs w:val="20"/>
                <w:lang w:val="sq-AL"/>
              </w:rPr>
            </w:pPr>
          </w:p>
        </w:tc>
        <w:tc>
          <w:tcPr>
            <w:tcW w:w="1158" w:type="dxa"/>
          </w:tcPr>
          <w:p w14:paraId="5B11C84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KDF</w:t>
            </w:r>
          </w:p>
        </w:tc>
        <w:tc>
          <w:tcPr>
            <w:tcW w:w="2239" w:type="dxa"/>
          </w:tcPr>
          <w:p w14:paraId="543D5968"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 xml:space="preserve">Në fund, korniza e monitorimit dhe indikatorët e strategjisë duhet të plotësohen me të dhëna të ndara për përfshirjen e grupeve të margjinalizuara, përfshirë personat me aftësi të kufizuara, në mënyrë që progresi i strategjisë të jetë i matshëm dhe llogaridhënëse. </w:t>
            </w:r>
          </w:p>
        </w:tc>
        <w:tc>
          <w:tcPr>
            <w:tcW w:w="1468" w:type="dxa"/>
          </w:tcPr>
          <w:p w14:paraId="509BD029" w14:textId="77777777" w:rsidR="00093E56" w:rsidRDefault="00843505">
            <w:pPr>
              <w:spacing w:line="276" w:lineRule="auto"/>
              <w:jc w:val="both"/>
              <w:rPr>
                <w:rFonts w:ascii="Candara" w:eastAsia="Times New Roman" w:hAnsi="Candara" w:cs="Times New Roman"/>
                <w:b/>
                <w:bCs/>
                <w:sz w:val="18"/>
                <w:szCs w:val="18"/>
                <w:lang w:val="sq-AL"/>
              </w:rPr>
            </w:pPr>
            <w:r>
              <w:rPr>
                <w:rFonts w:ascii="Candara" w:eastAsia="Times New Roman" w:hAnsi="Candara" w:cs="Times New Roman"/>
                <w:b/>
                <w:bCs/>
                <w:sz w:val="18"/>
                <w:szCs w:val="18"/>
                <w:lang w:val="sq-AL"/>
              </w:rPr>
              <w:t>Nuk pranohet</w:t>
            </w:r>
          </w:p>
        </w:tc>
        <w:tc>
          <w:tcPr>
            <w:tcW w:w="4957" w:type="dxa"/>
          </w:tcPr>
          <w:p w14:paraId="048D8585" w14:textId="77777777" w:rsidR="00093E56" w:rsidRDefault="00843505">
            <w:pPr>
              <w:spacing w:line="276" w:lineRule="auto"/>
              <w:jc w:val="both"/>
              <w:rPr>
                <w:rFonts w:ascii="Candara" w:eastAsia="Times New Roman" w:hAnsi="Candara" w:cs="Times New Roman"/>
                <w:sz w:val="18"/>
                <w:szCs w:val="18"/>
                <w:lang w:val="sq-AL"/>
              </w:rPr>
            </w:pPr>
            <w:r>
              <w:rPr>
                <w:rFonts w:ascii="Candara" w:eastAsia="Times New Roman" w:hAnsi="Candara" w:cs="Times New Roman"/>
                <w:sz w:val="18"/>
                <w:szCs w:val="18"/>
                <w:lang w:val="sq-AL"/>
              </w:rPr>
              <w:t>Korniza e monitorimit e Strategjisë ka natyrë gjithëpërfshirëse dhe vendos një bazë të unifikuar për matjen e progresit përmes treguesve të performancës për të gjitha veprimet dhe grupet apo kategoritë pa përjashtim.</w:t>
            </w:r>
          </w:p>
        </w:tc>
      </w:tr>
      <w:tr w:rsidR="00093E56" w14:paraId="63BD5C54" w14:textId="77777777" w:rsidTr="00843505">
        <w:trPr>
          <w:trHeight w:val="1140"/>
        </w:trPr>
        <w:tc>
          <w:tcPr>
            <w:tcW w:w="10440" w:type="dxa"/>
            <w:gridSpan w:val="5"/>
          </w:tcPr>
          <w:p w14:paraId="19C989EF" w14:textId="77777777" w:rsidR="00093E56" w:rsidRDefault="00093E56">
            <w:pPr>
              <w:spacing w:line="276" w:lineRule="auto"/>
              <w:jc w:val="both"/>
              <w:rPr>
                <w:rFonts w:ascii="Candara" w:eastAsia="Times New Roman" w:hAnsi="Candara" w:cs="Times New Roman"/>
                <w:sz w:val="18"/>
                <w:szCs w:val="18"/>
                <w:lang w:val="sq-AL"/>
              </w:rPr>
            </w:pPr>
          </w:p>
        </w:tc>
      </w:tr>
      <w:tr w:rsidR="00093E56" w14:paraId="360B01F6" w14:textId="77777777" w:rsidTr="00843505">
        <w:trPr>
          <w:trHeight w:val="1602"/>
        </w:trPr>
        <w:tc>
          <w:tcPr>
            <w:tcW w:w="618" w:type="dxa"/>
            <w:tcMar>
              <w:left w:w="108" w:type="dxa"/>
              <w:right w:w="108" w:type="dxa"/>
            </w:tcMar>
          </w:tcPr>
          <w:p w14:paraId="728BFFCB" w14:textId="77777777" w:rsidR="00093E56" w:rsidRDefault="00843505">
            <w:pPr>
              <w:jc w:val="both"/>
              <w:rPr>
                <w:rFonts w:ascii="Candara" w:eastAsia="Times New Roman" w:hAnsi="Candara" w:cs="Calibri"/>
                <w:sz w:val="20"/>
                <w:szCs w:val="20"/>
                <w:lang w:val="sq-AL"/>
              </w:rPr>
            </w:pPr>
            <w:r>
              <w:rPr>
                <w:rFonts w:ascii="Candara" w:eastAsia="Times New Roman" w:hAnsi="Candara" w:cs="Calibri"/>
                <w:sz w:val="20"/>
                <w:szCs w:val="20"/>
                <w:lang w:val="sq-AL"/>
              </w:rPr>
              <w:t>1</w:t>
            </w:r>
          </w:p>
        </w:tc>
        <w:tc>
          <w:tcPr>
            <w:tcW w:w="1158" w:type="dxa"/>
            <w:tcMar>
              <w:left w:w="108" w:type="dxa"/>
              <w:right w:w="108" w:type="dxa"/>
            </w:tcMar>
          </w:tcPr>
          <w:p w14:paraId="7FE1038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65265A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seksit dhe OSHC te dhënat e ndara sipas gjinisë se udhëheqësit/et te organizatës (Treguesi: Pjesëmarrja e qytetarëve dhe e shoqërisë civile në proceset vendimmarrëse vendore rritet deri në 100% gjatë periudhës së zbatimit të strategjisë, e matur përmes numrit të konsultimeve publike, pjesëmarrësve dhe kontributit të OShC-ve.</w:t>
            </w:r>
          </w:p>
        </w:tc>
        <w:tc>
          <w:tcPr>
            <w:tcW w:w="1468" w:type="dxa"/>
            <w:tcMar>
              <w:left w:w="108" w:type="dxa"/>
              <w:right w:w="108" w:type="dxa"/>
            </w:tcMar>
          </w:tcPr>
          <w:p w14:paraId="5213B13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5883095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 Të dhënat për pjesëmarrjen e qytetarëve dhe përfaqësuesve të organizatave të shoqërisë civile në proceset vendimmarrëse do të evidentohen dhe analizohen sipas gjinisë, me qëllim matjen e përfshirjes dhe pjesëmarrjes së barabartë. Ndërsa, të dhënat për gjininë e udhëheqësit/es së organizatës nuk konsiderohen element i drejtpërdrejtë i këtij treguesi, pasi fokusi i tij është niveli i pjesëmarrjes dhe kontributit të OShC-ve në proceset konsultative dhe vendimmarrëse.</w:t>
            </w:r>
          </w:p>
        </w:tc>
      </w:tr>
      <w:tr w:rsidR="00093E56" w14:paraId="47369BD8" w14:textId="77777777" w:rsidTr="00843505">
        <w:trPr>
          <w:trHeight w:val="1602"/>
        </w:trPr>
        <w:tc>
          <w:tcPr>
            <w:tcW w:w="618" w:type="dxa"/>
            <w:tcMar>
              <w:left w:w="108" w:type="dxa"/>
              <w:right w:w="108" w:type="dxa"/>
            </w:tcMar>
          </w:tcPr>
          <w:p w14:paraId="5F5717A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w:t>
            </w:r>
          </w:p>
        </w:tc>
        <w:tc>
          <w:tcPr>
            <w:tcW w:w="1158" w:type="dxa"/>
            <w:tcMar>
              <w:left w:w="108" w:type="dxa"/>
              <w:right w:w="108" w:type="dxa"/>
            </w:tcMar>
          </w:tcPr>
          <w:p w14:paraId="2B3340F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850927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 Te dhënat e ndara sipas seksit (Treguesi: Pjesëmarrja e qytetarëve dhe e shoqërisë civile në proceset vendimmarrëse vendore rritet deri në 100% gjatë periudhës së zbatimit të strategjisë, e matur përmes numrit të konsultimeve publike, pjesëmarrësve dhe kontributit të OShC-ve.</w:t>
            </w:r>
          </w:p>
        </w:tc>
        <w:tc>
          <w:tcPr>
            <w:tcW w:w="1468" w:type="dxa"/>
            <w:tcMar>
              <w:left w:w="108" w:type="dxa"/>
              <w:right w:w="108" w:type="dxa"/>
            </w:tcMar>
          </w:tcPr>
          <w:p w14:paraId="760F71F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4993D3F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Kjo tashmë është e përfshirë në plan të veprimit si synim i vitit 2031</w:t>
            </w:r>
          </w:p>
        </w:tc>
      </w:tr>
      <w:tr w:rsidR="00093E56" w14:paraId="220C3AC3" w14:textId="77777777" w:rsidTr="00843505">
        <w:trPr>
          <w:trHeight w:val="1602"/>
        </w:trPr>
        <w:tc>
          <w:tcPr>
            <w:tcW w:w="618" w:type="dxa"/>
            <w:tcMar>
              <w:left w:w="108" w:type="dxa"/>
              <w:right w:w="108" w:type="dxa"/>
            </w:tcMar>
          </w:tcPr>
          <w:p w14:paraId="1505786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3</w:t>
            </w:r>
          </w:p>
        </w:tc>
        <w:tc>
          <w:tcPr>
            <w:tcW w:w="1158" w:type="dxa"/>
            <w:tcMar>
              <w:left w:w="108" w:type="dxa"/>
              <w:right w:w="108" w:type="dxa"/>
            </w:tcMar>
          </w:tcPr>
          <w:p w14:paraId="0DE8AD1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245CCA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 Te dhënat e ndara sipas seksit dhe OSHC te dhënat e ndara sipas gjinisë se udhëheqësit te organizatës (Treguesi: Numri i OSHC-ve dhe qytetarëve që marrin pjesë në konsultime, forume apo procese të hartimit dhe monitorimit të politikave publike vendore brenda një viti.</w:t>
            </w:r>
          </w:p>
        </w:tc>
        <w:tc>
          <w:tcPr>
            <w:tcW w:w="1468" w:type="dxa"/>
            <w:tcMar>
              <w:left w:w="108" w:type="dxa"/>
              <w:right w:w="108" w:type="dxa"/>
            </w:tcMar>
          </w:tcPr>
          <w:p w14:paraId="3AC93FC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55A124C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ky tregues nuk mund të përfshihet në strategji, pasi është tregues operacional që kërkon monitorim vjetor dhe mbledhje të detajuar të të dhënave të ndara sipas gjinisë, gjë që tejkalon nivelin e matjes së paraparë në dokumentin strategjik. Për këtë arsye, nuk mund të përfshihet si tregues në kuadër të Strategjisë.</w:t>
            </w:r>
          </w:p>
        </w:tc>
      </w:tr>
      <w:tr w:rsidR="00093E56" w14:paraId="78923880" w14:textId="77777777" w:rsidTr="00843505">
        <w:trPr>
          <w:trHeight w:val="1602"/>
        </w:trPr>
        <w:tc>
          <w:tcPr>
            <w:tcW w:w="618" w:type="dxa"/>
            <w:tcMar>
              <w:left w:w="108" w:type="dxa"/>
              <w:right w:w="108" w:type="dxa"/>
            </w:tcMar>
          </w:tcPr>
          <w:p w14:paraId="4A37103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w:t>
            </w:r>
          </w:p>
        </w:tc>
        <w:tc>
          <w:tcPr>
            <w:tcW w:w="1158" w:type="dxa"/>
            <w:tcMar>
              <w:left w:w="108" w:type="dxa"/>
              <w:right w:w="108" w:type="dxa"/>
            </w:tcMar>
          </w:tcPr>
          <w:p w14:paraId="3D763C3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BEFE35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-Nr i organizatave qe udhëhiqen nga gratë (Treguesi: Numri i OSHC-ve dhe qytetarëve që marrin pjesë në konsultime, forume apo procese të hartimit dhe monitorimit të politikave publike vendore brenda një viti.</w:t>
            </w:r>
          </w:p>
        </w:tc>
        <w:tc>
          <w:tcPr>
            <w:tcW w:w="1468" w:type="dxa"/>
            <w:tcMar>
              <w:left w:w="108" w:type="dxa"/>
              <w:right w:w="108" w:type="dxa"/>
            </w:tcMar>
          </w:tcPr>
          <w:p w14:paraId="3CF15BA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1255971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ky tregues trajtohet dhe monitorohet nga Departamenti për OJQ-të pranë Ministrisë së Digjitalizimit dhe Administratës Publike dhe është i përfshirë në politikat e tyre sektoriale; për rrjedhojë, nuk është e nevojshme të përfshihet si tregues i veçantë në këtë strategji</w:t>
            </w:r>
          </w:p>
        </w:tc>
      </w:tr>
      <w:tr w:rsidR="00093E56" w14:paraId="7D48971F" w14:textId="77777777" w:rsidTr="00843505">
        <w:trPr>
          <w:trHeight w:val="1602"/>
        </w:trPr>
        <w:tc>
          <w:tcPr>
            <w:tcW w:w="618" w:type="dxa"/>
            <w:tcMar>
              <w:left w:w="108" w:type="dxa"/>
              <w:right w:w="108" w:type="dxa"/>
            </w:tcMar>
          </w:tcPr>
          <w:p w14:paraId="1C8E7CF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w:t>
            </w:r>
          </w:p>
        </w:tc>
        <w:tc>
          <w:tcPr>
            <w:tcW w:w="1158" w:type="dxa"/>
            <w:tcMar>
              <w:left w:w="108" w:type="dxa"/>
              <w:right w:w="108" w:type="dxa"/>
            </w:tcMar>
          </w:tcPr>
          <w:p w14:paraId="215CC9F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FBC4E4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 Rritja e numrit te OSHC ve qe udhëhiqen nga gratë (Rezultati -Rritja e ndikimit të qytetarëve dhe OSHC-ve në vendimmarrjen vendore  përmes përfshirjes së tyre në hartimin dhe monitorimin e politikave publike)</w:t>
            </w:r>
          </w:p>
        </w:tc>
        <w:tc>
          <w:tcPr>
            <w:tcW w:w="1468" w:type="dxa"/>
            <w:tcMar>
              <w:left w:w="108" w:type="dxa"/>
              <w:right w:w="108" w:type="dxa"/>
            </w:tcMar>
          </w:tcPr>
          <w:p w14:paraId="76142CA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7F01A5F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Ku ka qenë e mundur janë përfshirë në dokument qoftë të strategjia apo te planit i veprimit.</w:t>
            </w:r>
          </w:p>
        </w:tc>
      </w:tr>
      <w:tr w:rsidR="00093E56" w14:paraId="40AB7C7B" w14:textId="77777777" w:rsidTr="00843505">
        <w:trPr>
          <w:trHeight w:val="1602"/>
        </w:trPr>
        <w:tc>
          <w:tcPr>
            <w:tcW w:w="618" w:type="dxa"/>
            <w:tcMar>
              <w:left w:w="108" w:type="dxa"/>
              <w:right w:w="108" w:type="dxa"/>
            </w:tcMar>
          </w:tcPr>
          <w:p w14:paraId="64DA687C"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w:t>
            </w:r>
          </w:p>
        </w:tc>
        <w:tc>
          <w:tcPr>
            <w:tcW w:w="1158" w:type="dxa"/>
            <w:tcMar>
              <w:left w:w="108" w:type="dxa"/>
              <w:right w:w="108" w:type="dxa"/>
            </w:tcMar>
          </w:tcPr>
          <w:p w14:paraId="29E7505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A02C82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 Numri I POLITIKAVE PUBLIKE QE KANE TE PERFSHIRE INTEGRIMIN GJINORE (Treguesi: Përqindja e politikave publike për të cilat janë mbajtur konsultime publike, në raport me numrin total të politikave publike të përcaktuara nga Qeveria çdo vit)</w:t>
            </w:r>
          </w:p>
        </w:tc>
        <w:tc>
          <w:tcPr>
            <w:tcW w:w="1468" w:type="dxa"/>
            <w:tcMar>
              <w:left w:w="108" w:type="dxa"/>
              <w:right w:w="108" w:type="dxa"/>
            </w:tcMar>
          </w:tcPr>
          <w:p w14:paraId="47C5DEE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0D062AF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pranohet pjesërisht.  Në përputhje me kornizën ligjore në fuqi, konsultimet publike duhet të zhvillohen për të gjitha politikat publike, ndërsa integrimi gjinor përbën një parim horizontal që duhet të merret në konsideratë gjatë hartimit dhe zbatimit të të gjitha politikave publike relevante. Megjithatë, komenti për matjen e përqindjes ose numrit të politikave publike që përfshijnë integrimin gjinor dhe që i nënshtrohen konsultimit publik nuk konsiderohet koment i përshtatshëm për vlerësimin e nivelit të integrimit gjinor. Ky tregues nuk e mat drejtpërdrejt shkallën dhe cilësinë e integrimit gjinor në përmbajtjen e politikave publike. Gjithashtu, monitorimi dhe verifikimi i tij në raport me tërësinë e politikave publike paraqet sfida metodologjike dhe praktike, të cilat kufizojnë përdorshmërinë e tij si instrument matës për këtë qëllim.</w:t>
            </w:r>
          </w:p>
        </w:tc>
      </w:tr>
      <w:tr w:rsidR="00093E56" w14:paraId="718C7D07" w14:textId="77777777" w:rsidTr="00843505">
        <w:trPr>
          <w:trHeight w:val="1602"/>
        </w:trPr>
        <w:tc>
          <w:tcPr>
            <w:tcW w:w="618" w:type="dxa"/>
            <w:tcMar>
              <w:left w:w="108" w:type="dxa"/>
              <w:right w:w="108" w:type="dxa"/>
            </w:tcMar>
          </w:tcPr>
          <w:p w14:paraId="0DD3555A"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w:t>
            </w:r>
          </w:p>
        </w:tc>
        <w:tc>
          <w:tcPr>
            <w:tcW w:w="1158" w:type="dxa"/>
            <w:tcMar>
              <w:left w:w="108" w:type="dxa"/>
              <w:right w:w="108" w:type="dxa"/>
            </w:tcMar>
          </w:tcPr>
          <w:p w14:paraId="7F7E08E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12964E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Komenti-Pjesëmarrje e barabarte e gjinive-numri i te dhënave te ndara( Treguesi: Numri i anëtarëve të stafit  të institucioneve të trajnuara për Manualin e Konsultimit Publik.)</w:t>
            </w:r>
          </w:p>
        </w:tc>
        <w:tc>
          <w:tcPr>
            <w:tcW w:w="1468" w:type="dxa"/>
            <w:tcMar>
              <w:left w:w="108" w:type="dxa"/>
              <w:right w:w="108" w:type="dxa"/>
            </w:tcMar>
          </w:tcPr>
          <w:p w14:paraId="4C10047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1D877B2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Ky treguesi synon të masë kapacitetet profesionale të stafit të institucioneve për zbatimin e Manualit të Konsultimit Publik dhe jo drejtpërdrejt pjesëmarrjen e barabartë gjinore.</w:t>
            </w:r>
            <w:r>
              <w:rPr>
                <w:rFonts w:ascii="Candara" w:eastAsia="Times New Roman" w:hAnsi="Candara" w:cs="Calibri"/>
                <w:sz w:val="18"/>
                <w:szCs w:val="18"/>
                <w:lang w:val="sq-AL"/>
              </w:rPr>
              <w:br/>
              <w:t>Mekanizmat për konsultime publike janë struktura funksionale të bazuara në pozita profesionale, ku përzgjedhja e stafit bëhet sipas kompetencave dhe përgjegjësive përkatëse. Megjithatë, institucionet do të nxisin, aty ku është e mundur, përfshirjen e barabartë gjinore në këto procese.</w:t>
            </w:r>
          </w:p>
        </w:tc>
      </w:tr>
      <w:tr w:rsidR="00093E56" w14:paraId="1FB4DB36" w14:textId="77777777" w:rsidTr="00843505">
        <w:trPr>
          <w:trHeight w:val="1602"/>
        </w:trPr>
        <w:tc>
          <w:tcPr>
            <w:tcW w:w="618" w:type="dxa"/>
            <w:tcMar>
              <w:left w:w="108" w:type="dxa"/>
              <w:right w:w="108" w:type="dxa"/>
            </w:tcMar>
          </w:tcPr>
          <w:p w14:paraId="35A56B0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8</w:t>
            </w:r>
          </w:p>
        </w:tc>
        <w:tc>
          <w:tcPr>
            <w:tcW w:w="1158" w:type="dxa"/>
            <w:tcMar>
              <w:left w:w="108" w:type="dxa"/>
              <w:right w:w="108" w:type="dxa"/>
            </w:tcMar>
          </w:tcPr>
          <w:p w14:paraId="2607E48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7D7DC7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Komenti-Me integrim gjinorë (Veprimi: Përgatitja e manualit për konsultim publik , në përputhje me Rregulloren (QRK) nr. 17/2024 për Punën e Qeverisë së Republikës së Kosovës)</w:t>
            </w:r>
          </w:p>
        </w:tc>
        <w:tc>
          <w:tcPr>
            <w:tcW w:w="1468" w:type="dxa"/>
            <w:tcMar>
              <w:left w:w="108" w:type="dxa"/>
              <w:right w:w="108" w:type="dxa"/>
            </w:tcMar>
          </w:tcPr>
          <w:p w14:paraId="4F31F35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4A50FAD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Integrimi gjinor do të merret në konsideratë gjatë përgatitjes së Manualit për Konsultim Publik, në përputhje me Rregulloren (QRK) nr. 17/2024 për Punën e Qeverisë së Republikës së Kosovës. Në këtë proces do të përfshihen institucionet relevante, përfshirë Agjencinë për Barazi Gjinore (ABGJ), si dhe, aty ku është e mundur, organizatat e shoqërisë civile që kanë ekspertizë në këtë fushë.</w:t>
            </w:r>
          </w:p>
        </w:tc>
      </w:tr>
      <w:tr w:rsidR="00093E56" w14:paraId="4D1C38DD" w14:textId="77777777" w:rsidTr="00843505">
        <w:trPr>
          <w:trHeight w:val="1602"/>
        </w:trPr>
        <w:tc>
          <w:tcPr>
            <w:tcW w:w="618" w:type="dxa"/>
            <w:tcMar>
              <w:left w:w="108" w:type="dxa"/>
              <w:right w:w="108" w:type="dxa"/>
            </w:tcMar>
          </w:tcPr>
          <w:p w14:paraId="784A61CF"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9</w:t>
            </w:r>
          </w:p>
        </w:tc>
        <w:tc>
          <w:tcPr>
            <w:tcW w:w="1158" w:type="dxa"/>
            <w:tcMar>
              <w:left w:w="108" w:type="dxa"/>
              <w:right w:w="108" w:type="dxa"/>
            </w:tcMar>
          </w:tcPr>
          <w:p w14:paraId="58972F1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AF59C8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ABGJ/ZKM Veprimi: Përgatitja e manualit për konsultim publik , në përputhje me Rregulloren (QRK) nr. 17/2024 për Punën e Qeverisë së Republikës së Kosovës)</w:t>
            </w:r>
          </w:p>
        </w:tc>
        <w:tc>
          <w:tcPr>
            <w:tcW w:w="1468" w:type="dxa"/>
            <w:tcMar>
              <w:left w:w="108" w:type="dxa"/>
              <w:right w:w="108" w:type="dxa"/>
            </w:tcMar>
          </w:tcPr>
          <w:p w14:paraId="7B82E2D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w:t>
            </w:r>
          </w:p>
        </w:tc>
        <w:tc>
          <w:tcPr>
            <w:tcW w:w="4957" w:type="dxa"/>
            <w:tcMar>
              <w:left w:w="108" w:type="dxa"/>
              <w:right w:w="108" w:type="dxa"/>
            </w:tcMar>
          </w:tcPr>
          <w:p w14:paraId="6744953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është institucioni me mandat për barazi gjinore dhe shtohet si institucioni bashkëpunues ku ka të bëjë me perspektivën gjinore.</w:t>
            </w:r>
          </w:p>
        </w:tc>
      </w:tr>
      <w:tr w:rsidR="00093E56" w14:paraId="720E2520" w14:textId="77777777" w:rsidTr="00843505">
        <w:trPr>
          <w:trHeight w:val="1602"/>
        </w:trPr>
        <w:tc>
          <w:tcPr>
            <w:tcW w:w="618" w:type="dxa"/>
            <w:tcMar>
              <w:left w:w="108" w:type="dxa"/>
              <w:right w:w="108" w:type="dxa"/>
            </w:tcMar>
          </w:tcPr>
          <w:p w14:paraId="4EBE5BBD"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10</w:t>
            </w:r>
          </w:p>
        </w:tc>
        <w:tc>
          <w:tcPr>
            <w:tcW w:w="1158" w:type="dxa"/>
            <w:tcMar>
              <w:left w:w="108" w:type="dxa"/>
              <w:right w:w="108" w:type="dxa"/>
            </w:tcMar>
          </w:tcPr>
          <w:p w14:paraId="77D2394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6EB330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Komenti-Te sigurohet pjesëmarrje e barabarte gjinore. Te dhënat e ndara sipas gjinisë (Rezultati -Tri trajnime të realizuara, me pjesëmarrjen e 45 zyrtarëve të trajnuar)</w:t>
            </w:r>
          </w:p>
        </w:tc>
        <w:tc>
          <w:tcPr>
            <w:tcW w:w="1468" w:type="dxa"/>
            <w:tcMar>
              <w:left w:w="108" w:type="dxa"/>
              <w:right w:w="108" w:type="dxa"/>
            </w:tcMar>
          </w:tcPr>
          <w:p w14:paraId="18125BA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1352FF0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Të dhënat e ndara sipas gjinisë do të merren në konsideratë për monitorimin e pjesëmarrjes, me qëllim të promovimit të barazisë gjinore. </w:t>
            </w:r>
            <w:r>
              <w:rPr>
                <w:rFonts w:ascii="Candara" w:eastAsia="Times New Roman" w:hAnsi="Candara" w:cs="Calibri"/>
                <w:sz w:val="18"/>
                <w:szCs w:val="18"/>
                <w:lang w:val="sq-AL"/>
              </w:rPr>
              <w:br/>
              <w:t>Megjithatë, trajnimet dhe aktivitetet edukative për nëpunësit civilë dhe organizatat nuk mund të organizohen vetëm sipas gjinisë, pasi qëllimi i tyre është fuqizimi i kapaciteteve profesionale dhe funksionalizimi i mekanizmave për konsultime dhe financim.</w:t>
            </w:r>
            <w:r>
              <w:rPr>
                <w:rFonts w:ascii="Candara" w:eastAsia="Times New Roman" w:hAnsi="Candara" w:cs="Calibri"/>
                <w:sz w:val="18"/>
                <w:szCs w:val="18"/>
                <w:lang w:val="sq-AL"/>
              </w:rPr>
              <w:br/>
              <w:t>Mekanizmat koordinues janë të përcaktuar, me pika kontakti/koordinatorë të caktuar në nivel qendror dhe lokal, ndërsa pjesëmarrësit në trajnime caktohen nga institucionet dhe komunat përkatëse për fuqizimin e këtyre mekanizmave.</w:t>
            </w:r>
          </w:p>
        </w:tc>
      </w:tr>
      <w:tr w:rsidR="00093E56" w14:paraId="4C53DB26" w14:textId="77777777" w:rsidTr="00843505">
        <w:trPr>
          <w:trHeight w:val="1602"/>
        </w:trPr>
        <w:tc>
          <w:tcPr>
            <w:tcW w:w="618" w:type="dxa"/>
            <w:tcMar>
              <w:left w:w="108" w:type="dxa"/>
              <w:right w:w="108" w:type="dxa"/>
            </w:tcMar>
          </w:tcPr>
          <w:p w14:paraId="23B3335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11</w:t>
            </w:r>
          </w:p>
        </w:tc>
        <w:tc>
          <w:tcPr>
            <w:tcW w:w="1158" w:type="dxa"/>
            <w:tcMar>
              <w:left w:w="108" w:type="dxa"/>
              <w:right w:w="108" w:type="dxa"/>
            </w:tcMar>
          </w:tcPr>
          <w:p w14:paraId="2CC4531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2B54B3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Komenti-Te sigurohet pjesëmarrje e barabarte gjinore. Te dhënat e ndara sipas gjinisë (Produkti/autputi -Tre trajnime të realizuara, me pjesëmarrjen e 60 zyrtarëve  të trajnuar)</w:t>
            </w:r>
          </w:p>
        </w:tc>
        <w:tc>
          <w:tcPr>
            <w:tcW w:w="1468" w:type="dxa"/>
            <w:tcMar>
              <w:left w:w="108" w:type="dxa"/>
              <w:right w:w="108" w:type="dxa"/>
            </w:tcMar>
          </w:tcPr>
          <w:p w14:paraId="001341F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7DD76BE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Sesionet edukative dhe trajnimet për nëpunësit civilë dhe organizatat nuk mund të organizohen vetëm sipas gjinisë, pasi qëllimi i tyre është fuqizimi i kapaciteteve profesionale dhe institucionalizimi i mekanizmave funksionalë për konsultime dhe financim.</w:t>
            </w:r>
            <w:r>
              <w:rPr>
                <w:rFonts w:ascii="Candara" w:eastAsia="Times New Roman" w:hAnsi="Candara" w:cs="Calibri"/>
                <w:sz w:val="18"/>
                <w:szCs w:val="18"/>
                <w:lang w:val="sq-AL"/>
              </w:rPr>
              <w:br/>
              <w:t>Mekanizmat për konsultime dhe financim janë të formuar dhe secili institucion ka të caktuar pikën e kontaktit/koordinatorin përkatës. Këta përfaqësues do të jenë pjesë e trajnimeve, ndërsa në rastet kur caktohen përfaqësues të rinj, institucionet dhe komunat përkatëse përcaktojnë pjesëmarrësit. Qëllimi është fuqizimi i këtyre mekanizmave përmes ngritjes së kapaciteteve.</w:t>
            </w:r>
          </w:p>
        </w:tc>
      </w:tr>
      <w:tr w:rsidR="00093E56" w14:paraId="44F1FB0E" w14:textId="77777777" w:rsidTr="00843505">
        <w:trPr>
          <w:trHeight w:val="1602"/>
        </w:trPr>
        <w:tc>
          <w:tcPr>
            <w:tcW w:w="618" w:type="dxa"/>
            <w:tcMar>
              <w:left w:w="108" w:type="dxa"/>
              <w:right w:w="108" w:type="dxa"/>
            </w:tcMar>
          </w:tcPr>
          <w:p w14:paraId="480B2655"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12</w:t>
            </w:r>
          </w:p>
        </w:tc>
        <w:tc>
          <w:tcPr>
            <w:tcW w:w="1158" w:type="dxa"/>
            <w:tcMar>
              <w:left w:w="108" w:type="dxa"/>
              <w:right w:w="108" w:type="dxa"/>
            </w:tcMar>
          </w:tcPr>
          <w:p w14:paraId="6ECA697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63BD05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Komenti-Duke siguruar pjesëmarrjen e barabarte te organizatave te grave (Produkti/autputi - U organizuan takime vjetore me OShC-të  për konsultime mbi të gjitha planet e punës të ministrive)</w:t>
            </w:r>
          </w:p>
        </w:tc>
        <w:tc>
          <w:tcPr>
            <w:tcW w:w="1468" w:type="dxa"/>
            <w:tcMar>
              <w:left w:w="108" w:type="dxa"/>
              <w:right w:w="108" w:type="dxa"/>
            </w:tcMar>
          </w:tcPr>
          <w:p w14:paraId="1FB5888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12438FD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Në kuadër të organizimit të takimeve vjetore me OShC-të për konsultime mbi planet e punës së ministrive, do të inkurajohet dhe promovohet përfshirja e organizatave të grave dhe organizatave që punojnë në fushën e barazisë gjinore.                                              Megjithatë, pjesëmarrja nuk mund të kufizohet vetëm në organizatat e grave, pasi procesi i konsultimit publik synon përfshirjen e një spektri të gjerë të palëve të interesuara.</w:t>
            </w:r>
          </w:p>
        </w:tc>
      </w:tr>
      <w:tr w:rsidR="00093E56" w14:paraId="7E83EF5B" w14:textId="77777777" w:rsidTr="00843505">
        <w:trPr>
          <w:trHeight w:val="1602"/>
        </w:trPr>
        <w:tc>
          <w:tcPr>
            <w:tcW w:w="618" w:type="dxa"/>
            <w:tcMar>
              <w:left w:w="108" w:type="dxa"/>
              <w:right w:w="108" w:type="dxa"/>
            </w:tcMar>
          </w:tcPr>
          <w:p w14:paraId="12391AA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13</w:t>
            </w:r>
          </w:p>
        </w:tc>
        <w:tc>
          <w:tcPr>
            <w:tcW w:w="1158" w:type="dxa"/>
            <w:tcMar>
              <w:left w:w="108" w:type="dxa"/>
              <w:right w:w="108" w:type="dxa"/>
            </w:tcMar>
          </w:tcPr>
          <w:p w14:paraId="33C07F5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AE1098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Komenti-Numri i politikave publike qe kane te integruar perspektiven gjinore (Treguesi: Numri i politikave publike që kanë përmbushur standardet/procedurat e procesit të konsultimit në </w:t>
            </w:r>
            <w:r>
              <w:rPr>
                <w:rFonts w:ascii="Candara" w:eastAsia="Times New Roman" w:hAnsi="Candara" w:cs="Calibri"/>
                <w:sz w:val="18"/>
                <w:szCs w:val="18"/>
                <w:lang w:val="sq-AL"/>
              </w:rPr>
              <w:lastRenderedPageBreak/>
              <w:t>rrjedhë të hartimit dhe zbatimit të tyre)</w:t>
            </w:r>
          </w:p>
        </w:tc>
        <w:tc>
          <w:tcPr>
            <w:tcW w:w="1468" w:type="dxa"/>
            <w:tcMar>
              <w:left w:w="108" w:type="dxa"/>
              <w:right w:w="108" w:type="dxa"/>
            </w:tcMar>
          </w:tcPr>
          <w:p w14:paraId="2638A99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lastRenderedPageBreak/>
              <w:t>Nuk pranohet</w:t>
            </w:r>
          </w:p>
        </w:tc>
        <w:tc>
          <w:tcPr>
            <w:tcW w:w="4957" w:type="dxa"/>
            <w:tcMar>
              <w:left w:w="108" w:type="dxa"/>
              <w:right w:w="108" w:type="dxa"/>
            </w:tcMar>
          </w:tcPr>
          <w:p w14:paraId="66CDC17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Integrimi i perspektivës gjinore është parim që duhet të merret në konsideratë në të gjitha politikat publike relevante dhe është pjesë e kërkesave gjatë procesit të hartimit dhe zbatimit të tyre. Për këtë arsye, komenti te treguesi  për numrin e politikave që kanë të integruar perspektivën gjinore nuk konsiderohet i nevojshëm, pasi kjo kërkesë është tashmë e përfshirë në proceset dhe procedurat ekzistuese të hartimit të politikave publike.</w:t>
            </w:r>
          </w:p>
        </w:tc>
      </w:tr>
      <w:tr w:rsidR="00093E56" w14:paraId="73A8F61E" w14:textId="77777777" w:rsidTr="00843505">
        <w:trPr>
          <w:trHeight w:val="1602"/>
        </w:trPr>
        <w:tc>
          <w:tcPr>
            <w:tcW w:w="618" w:type="dxa"/>
            <w:tcMar>
              <w:left w:w="108" w:type="dxa"/>
              <w:right w:w="108" w:type="dxa"/>
            </w:tcMar>
          </w:tcPr>
          <w:p w14:paraId="2682834D"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14</w:t>
            </w:r>
          </w:p>
        </w:tc>
        <w:tc>
          <w:tcPr>
            <w:tcW w:w="1158" w:type="dxa"/>
            <w:tcMar>
              <w:left w:w="108" w:type="dxa"/>
              <w:right w:w="108" w:type="dxa"/>
            </w:tcMar>
          </w:tcPr>
          <w:p w14:paraId="77F3E39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26EB75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Komenti-Organizatave qe udhëhiqen nga gratë dhe veprojnë ne fushën e barazisë gjinore dhe te drejtave te njeriut (Treguesi: Numri i qytetarëve dhe OShC-ve  që komentojnë politikat publike)</w:t>
            </w:r>
          </w:p>
        </w:tc>
        <w:tc>
          <w:tcPr>
            <w:tcW w:w="1468" w:type="dxa"/>
            <w:tcMar>
              <w:left w:w="108" w:type="dxa"/>
              <w:right w:w="108" w:type="dxa"/>
            </w:tcMar>
          </w:tcPr>
          <w:p w14:paraId="4C7BD01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44EA82C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Përfshirja e organizatave që udhëhiqen nga gratë ose që veprojnë në fushën e barazisë gjinore dhe të drejtave të njeriut mbështetet përmes parimeve të përfshirjes dhe transparencës. Megjithatë, nuk konsiderohet e nevojshme që kjo të përcaktohet si kategori e veçantë në kuadër të këtij treguesi.</w:t>
            </w:r>
          </w:p>
        </w:tc>
      </w:tr>
      <w:tr w:rsidR="00093E56" w14:paraId="4A1AD23F" w14:textId="77777777" w:rsidTr="00843505">
        <w:trPr>
          <w:trHeight w:val="1602"/>
        </w:trPr>
        <w:tc>
          <w:tcPr>
            <w:tcW w:w="618" w:type="dxa"/>
            <w:tcMar>
              <w:left w:w="108" w:type="dxa"/>
              <w:right w:w="108" w:type="dxa"/>
            </w:tcMar>
          </w:tcPr>
          <w:p w14:paraId="33F6E292"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15</w:t>
            </w:r>
          </w:p>
        </w:tc>
        <w:tc>
          <w:tcPr>
            <w:tcW w:w="1158" w:type="dxa"/>
            <w:tcMar>
              <w:left w:w="108" w:type="dxa"/>
              <w:right w:w="108" w:type="dxa"/>
            </w:tcMar>
          </w:tcPr>
          <w:p w14:paraId="215ED6A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E5E8A4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përfshirje te barabarte te organizatave te grave te shoqërisë civile (Veprimi- Organizimi i trajnimeve për institucionet publike dhe OSHC-të  mbi përdorimin e Platformës online për konsultime publike)</w:t>
            </w:r>
          </w:p>
        </w:tc>
        <w:tc>
          <w:tcPr>
            <w:tcW w:w="1468" w:type="dxa"/>
            <w:tcMar>
              <w:left w:w="108" w:type="dxa"/>
              <w:right w:w="108" w:type="dxa"/>
            </w:tcMar>
          </w:tcPr>
          <w:p w14:paraId="1BECBBE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63F1B0D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Sesionet edukative dhe trajnimet për nëpunës civilë dhe organizata nuk mund të ndahen vetëm për gjini, pasi mekanizmi qoftë për konsultime apo qoftë për financim janë të formuara dhe secili institucion ka të caktuar një pikë kontakti apo koordinator për konsultime dhe financim. Këta kanë për të qenë pjesë e trajnimeve, ose edhe ata që vijnë të rinj janë institucionet apo komunat që i përcaktojnë përfaqësuesit, dhe ne jemi të obliguar t'i fuqizojmë këta mekanizma me trajnime.</w:t>
            </w:r>
          </w:p>
        </w:tc>
      </w:tr>
      <w:tr w:rsidR="00093E56" w14:paraId="387382C7" w14:textId="77777777" w:rsidTr="00843505">
        <w:trPr>
          <w:trHeight w:val="1602"/>
        </w:trPr>
        <w:tc>
          <w:tcPr>
            <w:tcW w:w="618" w:type="dxa"/>
            <w:tcMar>
              <w:left w:w="108" w:type="dxa"/>
              <w:right w:w="108" w:type="dxa"/>
            </w:tcMar>
          </w:tcPr>
          <w:p w14:paraId="02008B1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16</w:t>
            </w:r>
          </w:p>
        </w:tc>
        <w:tc>
          <w:tcPr>
            <w:tcW w:w="1158" w:type="dxa"/>
            <w:tcMar>
              <w:left w:w="108" w:type="dxa"/>
              <w:right w:w="108" w:type="dxa"/>
            </w:tcMar>
          </w:tcPr>
          <w:p w14:paraId="69E3A5E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D61490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Aktiviteti i përsëritur (Organizimi i trajnimeve për OSHC-të mbi përdorimin e Platformës online për konsultime publike)</w:t>
            </w:r>
          </w:p>
        </w:tc>
        <w:tc>
          <w:tcPr>
            <w:tcW w:w="1468" w:type="dxa"/>
            <w:tcMar>
              <w:left w:w="108" w:type="dxa"/>
              <w:right w:w="108" w:type="dxa"/>
            </w:tcMar>
          </w:tcPr>
          <w:p w14:paraId="783B201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0F4A824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Aktiviteti “Organizimi i trajnimeve për OShC-të mbi përdorimin e Platformës online për konsultime publike” është i dedikuar për organizatat e shoqërisë civile dhe nuk lidhet me trajnimet për institucionet publike.</w:t>
            </w:r>
            <w:r>
              <w:rPr>
                <w:rFonts w:ascii="Candara" w:eastAsia="Times New Roman" w:hAnsi="Candara" w:cs="Calibri"/>
                <w:sz w:val="18"/>
                <w:szCs w:val="18"/>
                <w:lang w:val="sq-AL"/>
              </w:rPr>
              <w:br/>
              <w:t>Për institucionet publike janë paraparë aktivitete të veçanta për ngritjen e kapaciteteve në këtë fushë.</w:t>
            </w:r>
          </w:p>
        </w:tc>
      </w:tr>
      <w:tr w:rsidR="00093E56" w14:paraId="377B7A44" w14:textId="77777777" w:rsidTr="00843505">
        <w:trPr>
          <w:trHeight w:val="1602"/>
        </w:trPr>
        <w:tc>
          <w:tcPr>
            <w:tcW w:w="618" w:type="dxa"/>
            <w:tcMar>
              <w:left w:w="108" w:type="dxa"/>
              <w:right w:w="108" w:type="dxa"/>
            </w:tcMar>
          </w:tcPr>
          <w:p w14:paraId="426CE89B"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17</w:t>
            </w:r>
          </w:p>
        </w:tc>
        <w:tc>
          <w:tcPr>
            <w:tcW w:w="1158" w:type="dxa"/>
            <w:tcMar>
              <w:left w:w="108" w:type="dxa"/>
              <w:right w:w="108" w:type="dxa"/>
            </w:tcMar>
          </w:tcPr>
          <w:p w14:paraId="672453C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7ADFDF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ABGJ/ZKM (ZQM, ministri të tjera, Veprimi -Përgatitja e udhëzuesit për përfshirjen e qytetarëve , përfshirë grupet e margjinalizuara , në procesin e politikë bërjes, në formatin e një manuali praktik dhe të përdorshëm.)</w:t>
            </w:r>
          </w:p>
        </w:tc>
        <w:tc>
          <w:tcPr>
            <w:tcW w:w="1468" w:type="dxa"/>
            <w:tcMar>
              <w:left w:w="108" w:type="dxa"/>
              <w:right w:w="108" w:type="dxa"/>
            </w:tcMar>
          </w:tcPr>
          <w:p w14:paraId="68F4A0F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0BCFA1B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ZKM/ZQM është institucioni kryesor përgjegjës dhe mban mandatin për zbatimin e aktivitetit. Kur aktiviteti lidhet me perspektivën gjinore, përfshihet edhe ABGJ si institucion bashkëpunues, pasi ajo është në kuadër të ZKM-së dhe ka mandat për çështjet e barazisë gjinore. Ministritë e linjës dhe institucionet e tjera përcaktohen si institucione bashkëpunuese në varësi të fushës së tyre të përgjegjësisë.</w:t>
            </w:r>
          </w:p>
        </w:tc>
      </w:tr>
      <w:tr w:rsidR="00093E56" w14:paraId="332DE4A9" w14:textId="77777777" w:rsidTr="00843505">
        <w:trPr>
          <w:trHeight w:val="1602"/>
        </w:trPr>
        <w:tc>
          <w:tcPr>
            <w:tcW w:w="618" w:type="dxa"/>
            <w:tcMar>
              <w:left w:w="108" w:type="dxa"/>
              <w:right w:w="108" w:type="dxa"/>
            </w:tcMar>
          </w:tcPr>
          <w:p w14:paraId="170E508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18</w:t>
            </w:r>
          </w:p>
        </w:tc>
        <w:tc>
          <w:tcPr>
            <w:tcW w:w="1158" w:type="dxa"/>
            <w:tcMar>
              <w:left w:w="108" w:type="dxa"/>
              <w:right w:w="108" w:type="dxa"/>
            </w:tcMar>
          </w:tcPr>
          <w:p w14:paraId="1B3526D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120A68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gjinisë(Veprimi - Përgatitja e udhëzuesit për përfshirjen e qytetarëve , përfshirë grupet e margjinalizuara , në procesin e politikë bërjes, në formatin e një manuali praktik dhe të përdorshëm)</w:t>
            </w:r>
          </w:p>
        </w:tc>
        <w:tc>
          <w:tcPr>
            <w:tcW w:w="1468" w:type="dxa"/>
            <w:tcMar>
              <w:left w:w="108" w:type="dxa"/>
              <w:right w:w="108" w:type="dxa"/>
            </w:tcMar>
          </w:tcPr>
          <w:p w14:paraId="3CA081D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74A32E2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Në kuadër të përgatitjes së udhëzuesit për përfshirjen e qytetarëve, përfshirë grupet e margjinalizuara, do të merret në konsideratë edhe perspektiva gjinore, përfshirë nevojat dhe pjesëmarrjen e grave.</w:t>
            </w:r>
            <w:r>
              <w:rPr>
                <w:rFonts w:ascii="Candara" w:eastAsia="Times New Roman" w:hAnsi="Candara" w:cs="Calibri"/>
                <w:sz w:val="18"/>
                <w:szCs w:val="18"/>
                <w:lang w:val="sq-AL"/>
              </w:rPr>
              <w:br/>
              <w:t>Megjithatë, udhëzuesi synon përfshirjen e të gjitha grupeve të interesuara dhe nuk kufizohet vetëm në një kategori të veçantë.</w:t>
            </w:r>
          </w:p>
        </w:tc>
      </w:tr>
      <w:tr w:rsidR="00093E56" w14:paraId="7F0C83EC" w14:textId="77777777" w:rsidTr="00843505">
        <w:trPr>
          <w:trHeight w:val="1602"/>
        </w:trPr>
        <w:tc>
          <w:tcPr>
            <w:tcW w:w="618" w:type="dxa"/>
            <w:tcMar>
              <w:left w:w="108" w:type="dxa"/>
              <w:right w:w="108" w:type="dxa"/>
            </w:tcMar>
          </w:tcPr>
          <w:p w14:paraId="02A9E943"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19</w:t>
            </w:r>
          </w:p>
        </w:tc>
        <w:tc>
          <w:tcPr>
            <w:tcW w:w="1158" w:type="dxa"/>
            <w:tcMar>
              <w:left w:w="108" w:type="dxa"/>
              <w:right w:w="108" w:type="dxa"/>
            </w:tcMar>
          </w:tcPr>
          <w:p w14:paraId="4B6655D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FF873F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Grave ,  (Veprimi - Përgatitja e udhëzuesit për përfshirjen e qytetarëve , përfshirë grupet e margjinalizuara , në procesin e politikë bërjes, në formatin e një manuali praktik dhe të përdorshëm)</w:t>
            </w:r>
          </w:p>
        </w:tc>
        <w:tc>
          <w:tcPr>
            <w:tcW w:w="1468" w:type="dxa"/>
            <w:tcMar>
              <w:left w:w="108" w:type="dxa"/>
              <w:right w:w="108" w:type="dxa"/>
            </w:tcMar>
          </w:tcPr>
          <w:p w14:paraId="6985F7E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5383B6E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Në kuadër të përgatitjes së udhëzuesit për përfshirjen e qytetarëve, përfshirë grupet e margjinalizuara, do të merret parasysh edhe përfshirja e grave dhe perspektiva gjinore në procesin e politikë bërjes.</w:t>
            </w:r>
            <w:r>
              <w:rPr>
                <w:rFonts w:ascii="Candara" w:eastAsia="Times New Roman" w:hAnsi="Candara" w:cs="Calibri"/>
                <w:sz w:val="18"/>
                <w:szCs w:val="18"/>
                <w:lang w:val="sq-AL"/>
              </w:rPr>
              <w:br/>
              <w:t>Aktiviteti do të zbatohet në mënyrë gjithëpërfshirëse, duke synuar përfshirjen e të gjitha grupeve relevante të shoqërisë.</w:t>
            </w:r>
          </w:p>
        </w:tc>
      </w:tr>
      <w:tr w:rsidR="00093E56" w14:paraId="463AA36E" w14:textId="77777777" w:rsidTr="00843505">
        <w:trPr>
          <w:trHeight w:val="1602"/>
        </w:trPr>
        <w:tc>
          <w:tcPr>
            <w:tcW w:w="618" w:type="dxa"/>
            <w:tcMar>
              <w:left w:w="108" w:type="dxa"/>
              <w:right w:w="108" w:type="dxa"/>
            </w:tcMar>
          </w:tcPr>
          <w:p w14:paraId="1E2DE3E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20</w:t>
            </w:r>
          </w:p>
        </w:tc>
        <w:tc>
          <w:tcPr>
            <w:tcW w:w="1158" w:type="dxa"/>
            <w:tcMar>
              <w:left w:w="108" w:type="dxa"/>
              <w:right w:w="108" w:type="dxa"/>
            </w:tcMar>
          </w:tcPr>
          <w:p w14:paraId="618DEA3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C5F282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prioritizohen personat me nevoja te veçanta ( brail, gjuha e shenjave; etj) te dhënat e ndara sipas gjinisë (Veprimi - Promovimi i konsultimeve publike përmes mediave sociale )</w:t>
            </w:r>
          </w:p>
        </w:tc>
        <w:tc>
          <w:tcPr>
            <w:tcW w:w="1468" w:type="dxa"/>
            <w:tcMar>
              <w:left w:w="108" w:type="dxa"/>
              <w:right w:w="108" w:type="dxa"/>
            </w:tcMar>
          </w:tcPr>
          <w:p w14:paraId="0993664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76C6DDD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do të përfshihet pjesërisht, pasi rekomandimet për promovimin e konsultimeve publike përmes kanaleve të ndryshme të komunikimit, përfshirë mediat sociale dhe aktivitetet informuese, janë adresuar tashmë në dokumentet. Ku ka qenë e mundur, janë përfshirë aktivitete që synojnë rritjen e informimit dhe pjesëmarrjes së qytetarëve në proceset e konsultimit publik. Gjithashtu, aspektet që lidhen me përfshirjen e personave me nevoja të veçanta janë marrë parasysh në kuadër të aktiviteteve të planifikuara.</w:t>
            </w:r>
            <w:r>
              <w:rPr>
                <w:rFonts w:ascii="Candara" w:eastAsia="Times New Roman" w:hAnsi="Candara" w:cs="Calibri"/>
                <w:sz w:val="18"/>
                <w:szCs w:val="18"/>
                <w:lang w:val="sq-AL"/>
              </w:rPr>
              <w:br/>
              <w:t>Megjithatë, rekomandimi për prioritizimin e personave me nevoja të veçanta (përfshirë përdorimin e Braille, gjuhës së shenjave dhe formave të tjera të qasshme të komunikimit), si dhe sigurimin e të dhënave të ndara sipas gjinisë do të konsiderohet si rekomandim për zbatim të vazhdueshëm gjatë fazës së implementimit, me qëllim përmirësimin e mëtejshëm të përfshirjes dhe qasjes së të gjitha grupeve në konsultime publike.</w:t>
            </w:r>
          </w:p>
        </w:tc>
      </w:tr>
      <w:tr w:rsidR="00093E56" w14:paraId="44CC71ED" w14:textId="77777777" w:rsidTr="00843505">
        <w:trPr>
          <w:trHeight w:val="1602"/>
        </w:trPr>
        <w:tc>
          <w:tcPr>
            <w:tcW w:w="618" w:type="dxa"/>
            <w:tcMar>
              <w:left w:w="108" w:type="dxa"/>
              <w:right w:w="108" w:type="dxa"/>
            </w:tcMar>
          </w:tcPr>
          <w:p w14:paraId="529C90B2"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21</w:t>
            </w:r>
          </w:p>
        </w:tc>
        <w:tc>
          <w:tcPr>
            <w:tcW w:w="1158" w:type="dxa"/>
            <w:tcMar>
              <w:left w:w="108" w:type="dxa"/>
              <w:right w:w="108" w:type="dxa"/>
            </w:tcMar>
          </w:tcPr>
          <w:p w14:paraId="5B67DF6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AF2F52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fokus nevojat e personave te veçanta ( Produkti/autputi Dizenjimi, printimi dhe shpërndarja e fletëpalosjeve  që përmbajnë informacion mbi avancimet dhe funksionalitetet e reja të platformës online.</w:t>
            </w:r>
          </w:p>
        </w:tc>
        <w:tc>
          <w:tcPr>
            <w:tcW w:w="1468" w:type="dxa"/>
            <w:tcMar>
              <w:left w:w="108" w:type="dxa"/>
              <w:right w:w="108" w:type="dxa"/>
            </w:tcMar>
          </w:tcPr>
          <w:p w14:paraId="15B36E2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1F957C4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do të përfshihet pjesërisht, pasi dizajnimi, printimi dhe shpërndarja e fletëpalosjeve me informacion mbi avancimet dhe funksionalitetet e reja të platformës online janë paraparë në kuadër të aktiviteteve të planifikuara.</w:t>
            </w:r>
            <w:r>
              <w:rPr>
                <w:rFonts w:ascii="Candara" w:eastAsia="Times New Roman" w:hAnsi="Candara" w:cs="Calibri"/>
                <w:sz w:val="18"/>
                <w:szCs w:val="18"/>
                <w:lang w:val="sq-AL"/>
              </w:rPr>
              <w:br/>
              <w:t>Gjatë realizimit të këtij aktiviteti do të merret parasysh nevoja për qasje dhe përfshirje sa më të gjerë të përdoruesve, përfshirë personat me nevoja të veçanta, duke u vlerësuar formatet dhe mënyrat më të përshtatshme të komunikimit.</w:t>
            </w:r>
            <w:r>
              <w:rPr>
                <w:rFonts w:ascii="Candara" w:eastAsia="Times New Roman" w:hAnsi="Candara" w:cs="Calibri"/>
                <w:sz w:val="18"/>
                <w:szCs w:val="18"/>
                <w:lang w:val="sq-AL"/>
              </w:rPr>
              <w:br/>
              <w:t>Rekomandimi për orientim më të madh të materialeve informuese drejt nevojave të personave me nevoja të veçanta do të konsiderohet si element për zbatim të mëtejshëm gjatë fazës së implementimit.</w:t>
            </w:r>
          </w:p>
        </w:tc>
      </w:tr>
      <w:tr w:rsidR="00093E56" w14:paraId="2593825F" w14:textId="77777777" w:rsidTr="00843505">
        <w:trPr>
          <w:trHeight w:val="1602"/>
        </w:trPr>
        <w:tc>
          <w:tcPr>
            <w:tcW w:w="618" w:type="dxa"/>
            <w:tcMar>
              <w:left w:w="108" w:type="dxa"/>
              <w:right w:w="108" w:type="dxa"/>
            </w:tcMar>
          </w:tcPr>
          <w:p w14:paraId="723B604B"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22</w:t>
            </w:r>
          </w:p>
        </w:tc>
        <w:tc>
          <w:tcPr>
            <w:tcW w:w="1158" w:type="dxa"/>
            <w:tcMar>
              <w:left w:w="108" w:type="dxa"/>
              <w:right w:w="108" w:type="dxa"/>
            </w:tcMar>
          </w:tcPr>
          <w:p w14:paraId="6AEA1D3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26FF6D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 Produkti/autputi  Përgatitja dhe publikimi i tre raporteve për çdo vit, të cilat përfshijnë të gjitha informacionet e grumbulluara  nga platforma online.)</w:t>
            </w:r>
          </w:p>
        </w:tc>
        <w:tc>
          <w:tcPr>
            <w:tcW w:w="1468" w:type="dxa"/>
            <w:tcMar>
              <w:left w:w="108" w:type="dxa"/>
              <w:right w:w="108" w:type="dxa"/>
            </w:tcMar>
          </w:tcPr>
          <w:p w14:paraId="0C5D559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73A8961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Ofrimi i draft politikave që prekin personat me aftësi të kufizuara në formate të qasshme sipas target grupit (gjuha e shenjave, audio, etj.)</w:t>
            </w:r>
          </w:p>
        </w:tc>
      </w:tr>
      <w:tr w:rsidR="00093E56" w14:paraId="0D0EA5B2" w14:textId="77777777" w:rsidTr="00843505">
        <w:trPr>
          <w:trHeight w:val="1602"/>
        </w:trPr>
        <w:tc>
          <w:tcPr>
            <w:tcW w:w="618" w:type="dxa"/>
            <w:tcMar>
              <w:left w:w="108" w:type="dxa"/>
              <w:right w:w="108" w:type="dxa"/>
            </w:tcMar>
          </w:tcPr>
          <w:p w14:paraId="26FD340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23</w:t>
            </w:r>
          </w:p>
        </w:tc>
        <w:tc>
          <w:tcPr>
            <w:tcW w:w="1158" w:type="dxa"/>
            <w:tcMar>
              <w:left w:w="108" w:type="dxa"/>
              <w:right w:w="108" w:type="dxa"/>
            </w:tcMar>
          </w:tcPr>
          <w:p w14:paraId="5AC1CF4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838BAD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Komenti- te sigurohet pjesëmarrje e barabartë dhe te mblidhen te dhënat e ndara sipas gjinisë (Produkti/autputi/Rezultati   Numri i zyrtarëve  të institucioneve publike të trajnuar dhe me kapacitet të përmirësuar për zbatimin e standardeve </w:t>
            </w:r>
            <w:r>
              <w:rPr>
                <w:rFonts w:ascii="Candara" w:eastAsia="Times New Roman" w:hAnsi="Candara" w:cs="Calibri"/>
                <w:sz w:val="18"/>
                <w:szCs w:val="18"/>
                <w:lang w:val="sq-AL"/>
              </w:rPr>
              <w:lastRenderedPageBreak/>
              <w:t>minimale të konsultimit publik)</w:t>
            </w:r>
          </w:p>
        </w:tc>
        <w:tc>
          <w:tcPr>
            <w:tcW w:w="1468" w:type="dxa"/>
            <w:tcMar>
              <w:left w:w="108" w:type="dxa"/>
              <w:right w:w="108" w:type="dxa"/>
            </w:tcMar>
          </w:tcPr>
          <w:p w14:paraId="1365B0B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lastRenderedPageBreak/>
              <w:t>Nuk pranohet</w:t>
            </w:r>
          </w:p>
        </w:tc>
        <w:tc>
          <w:tcPr>
            <w:tcW w:w="4957" w:type="dxa"/>
            <w:tcMar>
              <w:left w:w="108" w:type="dxa"/>
              <w:right w:w="108" w:type="dxa"/>
            </w:tcMar>
          </w:tcPr>
          <w:p w14:paraId="3F391CB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Sesionet edukative dhe trajnimet për nëpunësit civilë dhe organizatat nuk mund të organizohen apo të ndahen vetëm sipas kriterit gjinor, pasi mekanizmat ekzistues për konsultime dhe financim janë tashmë të themeluar dhe funksionojnë përmes pikave të kontaktit ose koordinatorëve të caktuar nga institucionet përkatëse.</w:t>
            </w:r>
            <w:r>
              <w:rPr>
                <w:rFonts w:ascii="Candara" w:eastAsia="Times New Roman" w:hAnsi="Candara" w:cs="Calibri"/>
                <w:sz w:val="18"/>
                <w:szCs w:val="18"/>
                <w:lang w:val="sq-AL"/>
              </w:rPr>
              <w:br/>
              <w:t>Këta përfaqësues janë pjesë e rregullt e proceseve të trajnimit dhe aktiviteteve për ngritjen e kapaciteteve. Në rastet kur caktohen përfaqësues të rinj, institucionet dhe komunat përkatëse janë përgjegjëse për përcaktimin e pjesëmarrësve në këto procese.</w:t>
            </w:r>
            <w:r>
              <w:rPr>
                <w:rFonts w:ascii="Candara" w:eastAsia="Times New Roman" w:hAnsi="Candara" w:cs="Calibri"/>
                <w:sz w:val="18"/>
                <w:szCs w:val="18"/>
                <w:lang w:val="sq-AL"/>
              </w:rPr>
              <w:br/>
            </w:r>
            <w:r>
              <w:rPr>
                <w:rFonts w:ascii="Candara" w:eastAsia="Times New Roman" w:hAnsi="Candara" w:cs="Calibri"/>
                <w:sz w:val="18"/>
                <w:szCs w:val="18"/>
                <w:lang w:val="sq-AL"/>
              </w:rPr>
              <w:lastRenderedPageBreak/>
              <w:t>Për këtë arsye, fokusi do të jetë në fuqizimin e mekanizmave ekzistues përmes trajnimeve dhe aktiviteteve të ngritjes së kapaciteteve, duke siguruar pjesëmarrjen dhe përfshirjen e përfaqësuesve të emëruar nga institucionet përkatëse, duke respektuar parimet e barazisë dhe përfshirjes.</w:t>
            </w:r>
          </w:p>
        </w:tc>
      </w:tr>
      <w:tr w:rsidR="00093E56" w14:paraId="23BA5653" w14:textId="77777777" w:rsidTr="00843505">
        <w:trPr>
          <w:trHeight w:val="1602"/>
        </w:trPr>
        <w:tc>
          <w:tcPr>
            <w:tcW w:w="618" w:type="dxa"/>
            <w:tcMar>
              <w:left w:w="108" w:type="dxa"/>
              <w:right w:w="108" w:type="dxa"/>
            </w:tcMar>
          </w:tcPr>
          <w:p w14:paraId="05F746A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24</w:t>
            </w:r>
          </w:p>
        </w:tc>
        <w:tc>
          <w:tcPr>
            <w:tcW w:w="1158" w:type="dxa"/>
            <w:tcMar>
              <w:left w:w="108" w:type="dxa"/>
              <w:right w:w="108" w:type="dxa"/>
            </w:tcMar>
          </w:tcPr>
          <w:p w14:paraId="7A5E35D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B44ED7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pjesëmarrje te barabarte te organizatave te grave (Veprimi -Ndërtimi i mekanizmave të standardizuar për përfshirjen e OSHC-ve  në fazat e hershme të konsultimeve publike, përmes udhëzuesve dhe procedurave, për rritjen e transparencës dhe unifikimin e praktikave të politikave publike)</w:t>
            </w:r>
          </w:p>
        </w:tc>
        <w:tc>
          <w:tcPr>
            <w:tcW w:w="1468" w:type="dxa"/>
            <w:tcMar>
              <w:left w:w="108" w:type="dxa"/>
              <w:right w:w="108" w:type="dxa"/>
            </w:tcMar>
          </w:tcPr>
          <w:p w14:paraId="6E5614F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7770214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Në kuadër të ndërtimit të mekanizmave të standardizuar për përfshirjen e OShC-ve në fazat e hershme të konsultimeve publike, do të inkurajohet dhe promovohet përfshirja e organizatave të grave dhe organizatave që punojnë në fushën e barazisë gjinore. Megjithatë, pjesëmarrja e organizatave të caktuara nuk mund të jetë kusht formal, pasi mekanizmi është i hapur për të gjitha OShC-të e interesuara.</w:t>
            </w:r>
          </w:p>
        </w:tc>
      </w:tr>
      <w:tr w:rsidR="00093E56" w14:paraId="0B1313BC" w14:textId="77777777" w:rsidTr="00843505">
        <w:trPr>
          <w:trHeight w:val="1602"/>
        </w:trPr>
        <w:tc>
          <w:tcPr>
            <w:tcW w:w="618" w:type="dxa"/>
            <w:tcMar>
              <w:left w:w="108" w:type="dxa"/>
              <w:right w:w="108" w:type="dxa"/>
            </w:tcMar>
          </w:tcPr>
          <w:p w14:paraId="3E8E6F6A"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25</w:t>
            </w:r>
          </w:p>
        </w:tc>
        <w:tc>
          <w:tcPr>
            <w:tcW w:w="1158" w:type="dxa"/>
            <w:tcMar>
              <w:left w:w="108" w:type="dxa"/>
              <w:right w:w="108" w:type="dxa"/>
            </w:tcMar>
          </w:tcPr>
          <w:p w14:paraId="7955175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06E2D2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ABGJ/ZKM ( përgjegjës   ZQM/ZKM, OSHC, IKAP)Veprimi - Sesione vjetore trajnimi për zyrtarët publikë mbi rolin e OSHC-ve, komunikimin dhe tejkalimin e pengesave burokratike</w:t>
            </w:r>
          </w:p>
        </w:tc>
        <w:tc>
          <w:tcPr>
            <w:tcW w:w="1468" w:type="dxa"/>
            <w:tcMar>
              <w:left w:w="108" w:type="dxa"/>
              <w:right w:w="108" w:type="dxa"/>
            </w:tcMar>
          </w:tcPr>
          <w:p w14:paraId="2DC7912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5C1775E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është institucioni me mandat për barazi gjinore dhe, duke pasur parasysh se ky aktivitet lidhet me rolin e OShC-ve dhe komunikimin institucional, shtohet si institucion bashkëpunues në zbatimin e sesioneve vjetore të trajnimit për zyrtarët publikë.</w:t>
            </w:r>
          </w:p>
        </w:tc>
      </w:tr>
      <w:tr w:rsidR="00093E56" w14:paraId="0655E4E5" w14:textId="77777777" w:rsidTr="00843505">
        <w:trPr>
          <w:trHeight w:val="1602"/>
        </w:trPr>
        <w:tc>
          <w:tcPr>
            <w:tcW w:w="618" w:type="dxa"/>
            <w:tcMar>
              <w:left w:w="108" w:type="dxa"/>
              <w:right w:w="108" w:type="dxa"/>
            </w:tcMar>
          </w:tcPr>
          <w:p w14:paraId="75E8CD9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26</w:t>
            </w:r>
          </w:p>
        </w:tc>
        <w:tc>
          <w:tcPr>
            <w:tcW w:w="1158" w:type="dxa"/>
            <w:tcMar>
              <w:left w:w="108" w:type="dxa"/>
              <w:right w:w="108" w:type="dxa"/>
            </w:tcMar>
          </w:tcPr>
          <w:p w14:paraId="7F23FFD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31A707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 dhe ZBGJ-TE ( përgjegjës  ZQM/ZKM, OSHC, IKAP) Veprimi  Trajnime të rregullta për pikat fokale të konsultimit publik, me fokus në përfshirjen në fazat e hershme dhe dhënien e përgjigjeve ndaj komenteve)</w:t>
            </w:r>
          </w:p>
        </w:tc>
        <w:tc>
          <w:tcPr>
            <w:tcW w:w="1468" w:type="dxa"/>
            <w:tcMar>
              <w:left w:w="108" w:type="dxa"/>
              <w:right w:w="108" w:type="dxa"/>
            </w:tcMar>
          </w:tcPr>
          <w:p w14:paraId="48592FD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208E18B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Mekanizmat për konsultime publike janë struktura funksionale të bazuara në pozita profesionale, ku përzgjedhja e stafit bëhet sipas kompetencave dhe përgjegjësive përkatëse. Pika e kontakti/koordinatori per konsultime qe është për ABGJ do të jete pjese e trajnimeve per konsultim publik si pjese e mekanizmit. Megjithatë, institucionet do të nxisin, aty ku është e mundur, përfshirjen e barabartë gjinore në këto procese. </w:t>
            </w:r>
          </w:p>
        </w:tc>
      </w:tr>
      <w:tr w:rsidR="00093E56" w14:paraId="1D1E19FC" w14:textId="77777777" w:rsidTr="00843505">
        <w:trPr>
          <w:trHeight w:val="1602"/>
        </w:trPr>
        <w:tc>
          <w:tcPr>
            <w:tcW w:w="618" w:type="dxa"/>
            <w:tcMar>
              <w:left w:w="108" w:type="dxa"/>
              <w:right w:w="108" w:type="dxa"/>
            </w:tcMar>
          </w:tcPr>
          <w:p w14:paraId="283AC73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27</w:t>
            </w:r>
          </w:p>
        </w:tc>
        <w:tc>
          <w:tcPr>
            <w:tcW w:w="1158" w:type="dxa"/>
            <w:tcMar>
              <w:left w:w="108" w:type="dxa"/>
              <w:right w:w="108" w:type="dxa"/>
            </w:tcMar>
          </w:tcPr>
          <w:p w14:paraId="71F927E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E7D899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DHENAT E NDARA SIPAS SEKSIT (Organizohen 3 sesione edukative, të trajnuar 30 nëpunës civilë)</w:t>
            </w:r>
          </w:p>
        </w:tc>
        <w:tc>
          <w:tcPr>
            <w:tcW w:w="1468" w:type="dxa"/>
            <w:tcMar>
              <w:left w:w="108" w:type="dxa"/>
              <w:right w:w="108" w:type="dxa"/>
            </w:tcMar>
          </w:tcPr>
          <w:p w14:paraId="31150FB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1007FA6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Të dhënat e ndara sipas gjinisë do të merren në konsideratë për monitorimin e pjesëmarrjes, me qëllim të promovimit të barazisë gjinore. Megjithatë, sesionet edukative për nëpunësit civilë nuk mund të organizohen apo të ndahen vetëm sipas kriterit gjinor, pasi mekanizmat ekzistues për konsultime dhe financim janë tashmë të themeluar dhe funksionojnë përmes pikave të kontaktit ose koordinatorëve të caktuar nga institucionet, të cilët kanë për të qenë pjesë e trajnimeve.</w:t>
            </w:r>
          </w:p>
        </w:tc>
      </w:tr>
      <w:tr w:rsidR="00093E56" w14:paraId="0ED28F12" w14:textId="77777777" w:rsidTr="00843505">
        <w:trPr>
          <w:trHeight w:val="1602"/>
        </w:trPr>
        <w:tc>
          <w:tcPr>
            <w:tcW w:w="618" w:type="dxa"/>
            <w:tcMar>
              <w:left w:w="108" w:type="dxa"/>
              <w:right w:w="108" w:type="dxa"/>
            </w:tcMar>
          </w:tcPr>
          <w:p w14:paraId="26D7A6D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28</w:t>
            </w:r>
          </w:p>
        </w:tc>
        <w:tc>
          <w:tcPr>
            <w:tcW w:w="1158" w:type="dxa"/>
            <w:tcMar>
              <w:left w:w="108" w:type="dxa"/>
              <w:right w:w="108" w:type="dxa"/>
            </w:tcMar>
          </w:tcPr>
          <w:p w14:paraId="3A28A58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464007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Për çka? ( veprimi - Sesione edukative për nëpunësit civilë në nivel lokal)</w:t>
            </w:r>
          </w:p>
        </w:tc>
        <w:tc>
          <w:tcPr>
            <w:tcW w:w="1468" w:type="dxa"/>
            <w:tcMar>
              <w:left w:w="108" w:type="dxa"/>
              <w:right w:w="108" w:type="dxa"/>
            </w:tcMar>
          </w:tcPr>
          <w:p w14:paraId="4B71D04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685137B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Sesionet edukative për nëpunësit civilë në nivel lokal janë të parapara si veprim konkret i Planit të Veprimit dhe synojnë fuqizimin e mekanizmave ekzistues institucionalë të konsultimit publik. Temat e sesioneve do të trajtohen në kuadër të Manualit të Konsultimit Publik dhe udhëzuesve që do të hartohen, duke mos kufizuar tematikat vetëm sipas kriterit gjinor. Te veprim është shtuar konsultimet me publikun.</w:t>
            </w:r>
          </w:p>
        </w:tc>
      </w:tr>
      <w:tr w:rsidR="00093E56" w14:paraId="2F91C3B1" w14:textId="77777777" w:rsidTr="00843505">
        <w:trPr>
          <w:trHeight w:val="1602"/>
        </w:trPr>
        <w:tc>
          <w:tcPr>
            <w:tcW w:w="618" w:type="dxa"/>
            <w:tcMar>
              <w:left w:w="108" w:type="dxa"/>
              <w:right w:w="108" w:type="dxa"/>
            </w:tcMar>
          </w:tcPr>
          <w:p w14:paraId="3EC74C2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29</w:t>
            </w:r>
          </w:p>
        </w:tc>
        <w:tc>
          <w:tcPr>
            <w:tcW w:w="1158" w:type="dxa"/>
            <w:tcMar>
              <w:left w:w="108" w:type="dxa"/>
              <w:right w:w="108" w:type="dxa"/>
            </w:tcMar>
          </w:tcPr>
          <w:p w14:paraId="7EC0565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3BE3FD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sigurohet pjesëmarrje e barabarte dhe përfshirje adekuate e organizatave te grave (Treguesi: Numri i takimeve të Këshillit për Bashkëpunim të Qeverisë me Shoqërinë Civile  të mbajtura gjatë periudhës së raportimit për bashkëpunim gjatë periudhës së raportimit)</w:t>
            </w:r>
          </w:p>
        </w:tc>
        <w:tc>
          <w:tcPr>
            <w:tcW w:w="1468" w:type="dxa"/>
            <w:tcMar>
              <w:left w:w="108" w:type="dxa"/>
              <w:right w:w="108" w:type="dxa"/>
            </w:tcMar>
          </w:tcPr>
          <w:p w14:paraId="24A335E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2456C35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Këshilli për Bashkëpunim të Qeverisë me Shoqërinë Civile është organ këshillimor i hapur dhe anëtarët nga shoqëria civile zgjidhen përmes thirrjeve publike, duke nxitur gjithmonë përfaqësimin gjinor dhe pjesëmarrjen e organizatave të grave. Megjithatë, garantimi formal i një kuote të caktuar nuk varet drejtpërsëdrejti prej institucioneve koordinuese, por nga aplikantët dhe procesi transparent i zgjedhjes.</w:t>
            </w:r>
          </w:p>
        </w:tc>
      </w:tr>
      <w:tr w:rsidR="00093E56" w14:paraId="189FE008" w14:textId="77777777" w:rsidTr="00843505">
        <w:trPr>
          <w:trHeight w:val="1602"/>
        </w:trPr>
        <w:tc>
          <w:tcPr>
            <w:tcW w:w="618" w:type="dxa"/>
            <w:tcMar>
              <w:left w:w="108" w:type="dxa"/>
              <w:right w:w="108" w:type="dxa"/>
            </w:tcMar>
          </w:tcPr>
          <w:p w14:paraId="060D2F4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30</w:t>
            </w:r>
          </w:p>
        </w:tc>
        <w:tc>
          <w:tcPr>
            <w:tcW w:w="1158" w:type="dxa"/>
            <w:tcMar>
              <w:left w:w="108" w:type="dxa"/>
              <w:right w:w="108" w:type="dxa"/>
            </w:tcMar>
          </w:tcPr>
          <w:p w14:paraId="42DB5F5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4E4FD9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Duke siguruar përfshirjen e barabarte te organizatave te grave (Aktivitete informuese dhe edukative lidhur me modelet e përfshirjes së OShC-ve  në grupet e punës në nivel lokal (NJVL)</w:t>
            </w:r>
          </w:p>
        </w:tc>
        <w:tc>
          <w:tcPr>
            <w:tcW w:w="1468" w:type="dxa"/>
            <w:tcMar>
              <w:left w:w="108" w:type="dxa"/>
              <w:right w:w="108" w:type="dxa"/>
            </w:tcMar>
          </w:tcPr>
          <w:p w14:paraId="0FE28A0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00D5796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Aktivitetet informuese dhe edukative lidhur me modelet e përfshirjes së OShC-ve në grupet e punës në nivel lokal (NJVL) janë të hapura për të gjitha organizatat e interesuara. Pjesëmarrja e organizatave të grave nxitet përmes thirrjeve publike gjithëpërfshirëse, por nuk mund të garantohet si kusht formal, pasi vendimi për përfaqësimin bëhet nga komunat dhe institucionet lokale.</w:t>
            </w:r>
          </w:p>
        </w:tc>
      </w:tr>
      <w:tr w:rsidR="00093E56" w14:paraId="7E9AF8ED" w14:textId="77777777" w:rsidTr="00843505">
        <w:trPr>
          <w:trHeight w:val="1602"/>
        </w:trPr>
        <w:tc>
          <w:tcPr>
            <w:tcW w:w="618" w:type="dxa"/>
            <w:tcMar>
              <w:left w:w="108" w:type="dxa"/>
              <w:right w:w="108" w:type="dxa"/>
            </w:tcMar>
          </w:tcPr>
          <w:p w14:paraId="4862446F"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31</w:t>
            </w:r>
          </w:p>
        </w:tc>
        <w:tc>
          <w:tcPr>
            <w:tcW w:w="1158" w:type="dxa"/>
            <w:tcMar>
              <w:left w:w="108" w:type="dxa"/>
              <w:right w:w="108" w:type="dxa"/>
            </w:tcMar>
          </w:tcPr>
          <w:p w14:paraId="7CE83E2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4A4A4C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Dhe kategoritë me nevoja te veçanta ( ( Produkti/autputi  Buletinet e përgatitur janë shpërndarë në mënyrë të rregullt përmes rrjeteve sociale dhe kanaleve tjera të komunikimit)</w:t>
            </w:r>
          </w:p>
        </w:tc>
        <w:tc>
          <w:tcPr>
            <w:tcW w:w="1468" w:type="dxa"/>
            <w:tcMar>
              <w:left w:w="108" w:type="dxa"/>
              <w:right w:w="108" w:type="dxa"/>
            </w:tcMar>
          </w:tcPr>
          <w:p w14:paraId="6B5214A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46EFF51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Buletinet e përgatitur do të shpërndahen përmes rrjeteve sociale dhe kanaleve të tjera të komunikimit, duke synuar arritjen e grupeve të ndryshme të interesit. Patjetër që do të merren parasysh kategoritë e personave me nevoja të veçanta dhe grupeve të margjinalizuara në hartimin e materialeve informuese, megjithëse kjo varet edhe nga kapacitetet teknike dhe burimet e disponueshme.</w:t>
            </w:r>
          </w:p>
        </w:tc>
      </w:tr>
      <w:tr w:rsidR="00093E56" w14:paraId="5DA142E1" w14:textId="77777777" w:rsidTr="00843505">
        <w:trPr>
          <w:trHeight w:val="1602"/>
        </w:trPr>
        <w:tc>
          <w:tcPr>
            <w:tcW w:w="618" w:type="dxa"/>
            <w:tcMar>
              <w:left w:w="108" w:type="dxa"/>
              <w:right w:w="108" w:type="dxa"/>
            </w:tcMar>
          </w:tcPr>
          <w:p w14:paraId="1A4CA06C"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32</w:t>
            </w:r>
          </w:p>
        </w:tc>
        <w:tc>
          <w:tcPr>
            <w:tcW w:w="1158" w:type="dxa"/>
            <w:tcMar>
              <w:left w:w="108" w:type="dxa"/>
              <w:right w:w="108" w:type="dxa"/>
            </w:tcMar>
          </w:tcPr>
          <w:p w14:paraId="08B320A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AF99E0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për udhëheqësin/en e OSHC-ve (Treguesi: Përqindja e OShC-ve  që demonstrojnë qëndrueshmëri financiare, e matur përmes sigurimit të financimit të kontraktuar për tre vitet e ardhshme dhe posedimit të së paku dy burimeve të pavarura të financimit)</w:t>
            </w:r>
          </w:p>
        </w:tc>
        <w:tc>
          <w:tcPr>
            <w:tcW w:w="1468" w:type="dxa"/>
            <w:tcMar>
              <w:left w:w="108" w:type="dxa"/>
              <w:right w:w="108" w:type="dxa"/>
            </w:tcMar>
          </w:tcPr>
          <w:p w14:paraId="3531800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4709CA4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matjes së qëndrueshmërisë financiare të OShC-ve, të dhënat do të ndahen sipas gjinisë së udhëheqësit/es të organizatës, ku kjo është e mundur dhe relevante. Kjo qasje mundëson monitorimin e ndikimit gjinor dhe siguron vlerësim më gjithëpërfshirës të sektorit civil.</w:t>
            </w:r>
          </w:p>
        </w:tc>
      </w:tr>
      <w:tr w:rsidR="00093E56" w14:paraId="4FED3C17" w14:textId="77777777" w:rsidTr="00843505">
        <w:trPr>
          <w:trHeight w:val="1602"/>
        </w:trPr>
        <w:tc>
          <w:tcPr>
            <w:tcW w:w="618" w:type="dxa"/>
            <w:tcMar>
              <w:left w:w="108" w:type="dxa"/>
              <w:right w:w="108" w:type="dxa"/>
            </w:tcMar>
          </w:tcPr>
          <w:p w14:paraId="0E8FAA14" w14:textId="77777777" w:rsidR="00093E56" w:rsidRDefault="00843505">
            <w:pPr>
              <w:jc w:val="both"/>
              <w:rPr>
                <w:rFonts w:ascii="Candara" w:eastAsia="Times New Roman" w:hAnsi="Candara" w:cs="Calibri"/>
                <w:sz w:val="20"/>
                <w:szCs w:val="20"/>
                <w:lang w:val="sq-AL"/>
              </w:rPr>
            </w:pPr>
            <w:r>
              <w:rPr>
                <w:rFonts w:ascii="Candara" w:eastAsia="Times New Roman" w:hAnsi="Candara" w:cs="Calibri"/>
                <w:sz w:val="20"/>
                <w:szCs w:val="20"/>
                <w:lang w:val="sq-AL"/>
              </w:rPr>
              <w:t>33</w:t>
            </w:r>
          </w:p>
        </w:tc>
        <w:tc>
          <w:tcPr>
            <w:tcW w:w="1158" w:type="dxa"/>
            <w:tcMar>
              <w:left w:w="108" w:type="dxa"/>
              <w:right w:w="108" w:type="dxa"/>
            </w:tcMar>
          </w:tcPr>
          <w:p w14:paraId="387C69C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7F3C19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gjinisë(Treguesi: Përqindja e institucioneve që realizojnë thirrje publike për financimin e OShC-ve  në përputhje me Rregulloren MF-NR–04/2017 mbi kriteret, standardet dhe procedurat e financimit publik të OShC-ve)</w:t>
            </w:r>
          </w:p>
        </w:tc>
        <w:tc>
          <w:tcPr>
            <w:tcW w:w="1468" w:type="dxa"/>
            <w:tcMar>
              <w:left w:w="108" w:type="dxa"/>
              <w:right w:w="108" w:type="dxa"/>
            </w:tcMar>
          </w:tcPr>
          <w:p w14:paraId="7D56180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6AE435B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Të dhënat sipas gjinisë nuk janë të aplikueshme për këtë tregues dhe nuk do të përfshihen, pasi treguesi lidhet me proceset institucionale të financimit publik dhe jo me përfitues individualë.</w:t>
            </w:r>
          </w:p>
        </w:tc>
      </w:tr>
      <w:tr w:rsidR="00093E56" w14:paraId="30968716" w14:textId="77777777" w:rsidTr="00843505">
        <w:trPr>
          <w:trHeight w:val="1602"/>
        </w:trPr>
        <w:tc>
          <w:tcPr>
            <w:tcW w:w="618" w:type="dxa"/>
            <w:tcMar>
              <w:left w:w="108" w:type="dxa"/>
              <w:right w:w="108" w:type="dxa"/>
            </w:tcMar>
          </w:tcPr>
          <w:p w14:paraId="5B27286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34</w:t>
            </w:r>
          </w:p>
        </w:tc>
        <w:tc>
          <w:tcPr>
            <w:tcW w:w="1158" w:type="dxa"/>
            <w:tcMar>
              <w:left w:w="108" w:type="dxa"/>
              <w:right w:w="108" w:type="dxa"/>
            </w:tcMar>
          </w:tcPr>
          <w:p w14:paraId="0844EBE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71ACE8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fokus organizatat e grave (Veprimi: Ngritja e kapaciteteve të OSHC-ve  për zbatim transparent dhe të përgjegjshëm të projektit të mbështetur nga fondet publike.)</w:t>
            </w:r>
          </w:p>
        </w:tc>
        <w:tc>
          <w:tcPr>
            <w:tcW w:w="1468" w:type="dxa"/>
            <w:tcMar>
              <w:left w:w="108" w:type="dxa"/>
              <w:right w:w="108" w:type="dxa"/>
            </w:tcMar>
          </w:tcPr>
          <w:p w14:paraId="3A71706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2CF0E53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Aktiviteti i ngritjes së kapaciteteve të OShC-ve për zbatim transparent dhe të përgjegjshëm të projekteve të mbështetura nga fondet publike është i hapur për të gjitha organizatat e interesuara. Thirrjet publike për financim bazohen në kritere objektive dhe të paracaktuara nga legjislacioni në fuqi, duke mos lejuar preferim formal të kategorive të caktuara të organizatave mbi bazë gjinore.</w:t>
            </w:r>
          </w:p>
        </w:tc>
      </w:tr>
      <w:tr w:rsidR="00093E56" w14:paraId="3B20852F" w14:textId="77777777" w:rsidTr="00843505">
        <w:trPr>
          <w:trHeight w:val="1602"/>
        </w:trPr>
        <w:tc>
          <w:tcPr>
            <w:tcW w:w="618" w:type="dxa"/>
            <w:tcMar>
              <w:left w:w="108" w:type="dxa"/>
              <w:right w:w="108" w:type="dxa"/>
            </w:tcMar>
          </w:tcPr>
          <w:p w14:paraId="19C9267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35</w:t>
            </w:r>
          </w:p>
        </w:tc>
        <w:tc>
          <w:tcPr>
            <w:tcW w:w="1158" w:type="dxa"/>
            <w:tcMar>
              <w:left w:w="108" w:type="dxa"/>
              <w:right w:w="108" w:type="dxa"/>
            </w:tcMar>
          </w:tcPr>
          <w:p w14:paraId="54D67EE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3CF103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Komenti-ABGJ (Aktiviteti Planifikimi i duhur dhe gjithëpërfshirës, duke përfshirë edhe OJT-të, në procesin e thirrjeve për aplikime për garante qe përgjegjës tejet edhe ABGJ).</w:t>
            </w:r>
          </w:p>
        </w:tc>
        <w:tc>
          <w:tcPr>
            <w:tcW w:w="1468" w:type="dxa"/>
            <w:tcMar>
              <w:left w:w="108" w:type="dxa"/>
              <w:right w:w="108" w:type="dxa"/>
            </w:tcMar>
          </w:tcPr>
          <w:p w14:paraId="79AD5BC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0AA6C6A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shtohet si institucion bashkëpunues në planifikimin e thirrjeve për aplikime, duke pasur parasysh mandatin e saj për barazi gjinore dhe eksperiencën në ofrimin e granteve dhe subvencioneve. Kjo siguron integrimin e perspektivës gjinore dhe të drejtave të gruas në procesin e thirrjeve publike.</w:t>
            </w:r>
          </w:p>
        </w:tc>
      </w:tr>
      <w:tr w:rsidR="00093E56" w14:paraId="52DFCB82" w14:textId="77777777" w:rsidTr="00843505">
        <w:trPr>
          <w:trHeight w:val="1602"/>
        </w:trPr>
        <w:tc>
          <w:tcPr>
            <w:tcW w:w="618" w:type="dxa"/>
            <w:tcMar>
              <w:left w:w="108" w:type="dxa"/>
              <w:right w:w="108" w:type="dxa"/>
            </w:tcMar>
          </w:tcPr>
          <w:p w14:paraId="69A2279A"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36</w:t>
            </w:r>
          </w:p>
        </w:tc>
        <w:tc>
          <w:tcPr>
            <w:tcW w:w="1158" w:type="dxa"/>
            <w:tcMar>
              <w:left w:w="108" w:type="dxa"/>
              <w:right w:w="108" w:type="dxa"/>
            </w:tcMar>
          </w:tcPr>
          <w:p w14:paraId="0CD61C6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D0BA27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gjinisë-udhëheqësin/en e organizatës (Përgatitja, përmbledhja dhe publikimi i raporteve vjetore mbi financimin publik për OSHC-të)</w:t>
            </w:r>
          </w:p>
        </w:tc>
        <w:tc>
          <w:tcPr>
            <w:tcW w:w="1468" w:type="dxa"/>
            <w:tcMar>
              <w:left w:w="108" w:type="dxa"/>
              <w:right w:w="108" w:type="dxa"/>
            </w:tcMar>
          </w:tcPr>
          <w:p w14:paraId="1265427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51B2C94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Të dhënat e ndara sipas gjinisë-udhëheqësin/en e organizatës nuk do të përfshihen për këtë veprim pasi veprimi "Përgatitja, përmbledhja dhe publikimi i raporteve vjetore mbi financimin publik për OSHC-të, realizohet në përputhje me Rregulloren MF-NR-04/2017 mbi kriteret, standardet dhe procedurat e financimit publik të OShC-ve”</w:t>
            </w:r>
          </w:p>
        </w:tc>
      </w:tr>
      <w:tr w:rsidR="00093E56" w14:paraId="1EF87CED" w14:textId="77777777" w:rsidTr="00843505">
        <w:trPr>
          <w:trHeight w:val="1602"/>
        </w:trPr>
        <w:tc>
          <w:tcPr>
            <w:tcW w:w="618" w:type="dxa"/>
            <w:tcMar>
              <w:left w:w="108" w:type="dxa"/>
              <w:right w:w="108" w:type="dxa"/>
            </w:tcMar>
          </w:tcPr>
          <w:p w14:paraId="6E8F0E9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37</w:t>
            </w:r>
          </w:p>
        </w:tc>
        <w:tc>
          <w:tcPr>
            <w:tcW w:w="1158" w:type="dxa"/>
            <w:tcMar>
              <w:left w:w="108" w:type="dxa"/>
              <w:right w:w="108" w:type="dxa"/>
            </w:tcMar>
          </w:tcPr>
          <w:p w14:paraId="012FCB4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196A94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/ja (produkti -Zyrtari i ri  i rregullt është rekrutuar dhe ka filluar punën)</w:t>
            </w:r>
          </w:p>
        </w:tc>
        <w:tc>
          <w:tcPr>
            <w:tcW w:w="1468" w:type="dxa"/>
            <w:tcMar>
              <w:left w:w="108" w:type="dxa"/>
              <w:right w:w="108" w:type="dxa"/>
            </w:tcMar>
          </w:tcPr>
          <w:p w14:paraId="2BE8E90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213F930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Gjuha gjithëpërfshirëse gjinore pranohet dhe është e rëndësishme të integrohet në të gjitha dokumentet dhe produktet e Planit të Veprimit. Forma 'Zyrtari/ja i/e ri/re i/e rregullt' do të përdoret për të siguruar gjithë përfshirjen gjinore në komunikimin institucional.</w:t>
            </w:r>
          </w:p>
        </w:tc>
      </w:tr>
      <w:tr w:rsidR="00093E56" w14:paraId="0A2450B9" w14:textId="77777777" w:rsidTr="00843505">
        <w:trPr>
          <w:trHeight w:val="1602"/>
        </w:trPr>
        <w:tc>
          <w:tcPr>
            <w:tcW w:w="618" w:type="dxa"/>
            <w:tcMar>
              <w:left w:w="108" w:type="dxa"/>
              <w:right w:w="108" w:type="dxa"/>
            </w:tcMar>
          </w:tcPr>
          <w:p w14:paraId="3DDD583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38</w:t>
            </w:r>
          </w:p>
        </w:tc>
        <w:tc>
          <w:tcPr>
            <w:tcW w:w="1158" w:type="dxa"/>
            <w:tcMar>
              <w:left w:w="108" w:type="dxa"/>
              <w:right w:w="108" w:type="dxa"/>
            </w:tcMar>
          </w:tcPr>
          <w:p w14:paraId="6F8E1C7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9E6172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Fokus i veçantë organizatat e grave (Treguesi: Numri i projektet të OSHC-ve të financuara nga BE-ja dhe donatorët tjerë</w:t>
            </w:r>
          </w:p>
        </w:tc>
        <w:tc>
          <w:tcPr>
            <w:tcW w:w="1468" w:type="dxa"/>
            <w:tcMar>
              <w:left w:w="108" w:type="dxa"/>
              <w:right w:w="108" w:type="dxa"/>
            </w:tcMar>
          </w:tcPr>
          <w:p w14:paraId="4B12456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16FD2FE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Monitorimi i numrit të projekteve të OShC-ve të financuara nga BE-ja dhe donatorët e tjerë bëhet në bazë të kritereve objektive të vendosura nga financuesit. Nxitja e organizatave të grave është e mirëpritur, por nuk mund të kushtëzohet formalisht si fokus i veçantë i këtij treguesi, pasi kriteret e financimit vendosen nga institucionet dhe mekanizmat ndërkombëtarë.</w:t>
            </w:r>
          </w:p>
        </w:tc>
      </w:tr>
      <w:tr w:rsidR="00093E56" w14:paraId="5187210C" w14:textId="77777777" w:rsidTr="00843505">
        <w:trPr>
          <w:trHeight w:val="1602"/>
        </w:trPr>
        <w:tc>
          <w:tcPr>
            <w:tcW w:w="618" w:type="dxa"/>
            <w:tcMar>
              <w:left w:w="108" w:type="dxa"/>
              <w:right w:w="108" w:type="dxa"/>
            </w:tcMar>
          </w:tcPr>
          <w:p w14:paraId="2E397079" w14:textId="77777777" w:rsidR="00093E56" w:rsidRDefault="00843505">
            <w:pPr>
              <w:jc w:val="both"/>
              <w:rPr>
                <w:rFonts w:ascii="Candara" w:eastAsia="Times New Roman" w:hAnsi="Candara" w:cs="Calibri"/>
                <w:sz w:val="20"/>
                <w:szCs w:val="20"/>
                <w:lang w:val="sq-AL"/>
              </w:rPr>
            </w:pPr>
            <w:r>
              <w:rPr>
                <w:rFonts w:ascii="Candara" w:eastAsia="Times New Roman" w:hAnsi="Candara" w:cs="Calibri"/>
                <w:sz w:val="20"/>
                <w:szCs w:val="20"/>
                <w:lang w:val="sq-AL"/>
              </w:rPr>
              <w:t>39</w:t>
            </w:r>
          </w:p>
        </w:tc>
        <w:tc>
          <w:tcPr>
            <w:tcW w:w="1158" w:type="dxa"/>
            <w:tcMar>
              <w:left w:w="108" w:type="dxa"/>
              <w:right w:w="108" w:type="dxa"/>
            </w:tcMar>
          </w:tcPr>
          <w:p w14:paraId="6C9C8C5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CC0391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se udhëheqësit/ses se organizatës dhe portofolios (Treguesi: Numri i projektet të OSHC-ve të financuara nga BE-ja dhe donatorët tjerë)</w:t>
            </w:r>
          </w:p>
        </w:tc>
        <w:tc>
          <w:tcPr>
            <w:tcW w:w="1468" w:type="dxa"/>
            <w:tcMar>
              <w:left w:w="108" w:type="dxa"/>
              <w:right w:w="108" w:type="dxa"/>
            </w:tcMar>
          </w:tcPr>
          <w:p w14:paraId="055B521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1B6A212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Të dhënat për numrin e projekteve të OShC-ve të financuara nga BE-ja dhe donatorët e tjerë do të raportohen të ndara sipas gjinisë së udhëheqësit/es së organizatës dhe sipas portofolios, aty ku këto të dhëna janë në dispozicion.</w:t>
            </w:r>
          </w:p>
        </w:tc>
      </w:tr>
      <w:tr w:rsidR="00093E56" w14:paraId="5906A2D2" w14:textId="77777777" w:rsidTr="00843505">
        <w:trPr>
          <w:trHeight w:val="1602"/>
        </w:trPr>
        <w:tc>
          <w:tcPr>
            <w:tcW w:w="618" w:type="dxa"/>
            <w:tcMar>
              <w:left w:w="108" w:type="dxa"/>
              <w:right w:w="108" w:type="dxa"/>
            </w:tcMar>
          </w:tcPr>
          <w:p w14:paraId="480BAC9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40</w:t>
            </w:r>
          </w:p>
        </w:tc>
        <w:tc>
          <w:tcPr>
            <w:tcW w:w="1158" w:type="dxa"/>
            <w:tcMar>
              <w:left w:w="108" w:type="dxa"/>
              <w:right w:w="108" w:type="dxa"/>
            </w:tcMar>
          </w:tcPr>
          <w:p w14:paraId="02E7FD0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8E30B4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indikatorë gjinore(Veprimi -Përgatitja e një analize krahasuese  mbi fondet për bashkëfinancim)</w:t>
            </w:r>
          </w:p>
        </w:tc>
        <w:tc>
          <w:tcPr>
            <w:tcW w:w="1468" w:type="dxa"/>
            <w:tcMar>
              <w:left w:w="108" w:type="dxa"/>
              <w:right w:w="108" w:type="dxa"/>
            </w:tcMar>
          </w:tcPr>
          <w:p w14:paraId="59336CF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24E7507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Analiza krahasuese mbi fondet për bashkëfinancim do të përfshijë indikatorë gjinorë, me qëllim vlerësimin e ndikimit të mekanizmave të bashkëfinancimit mbi organizatat e udhëhequra nga gratë dhe ato që punojnë në fushën e barazisë gjinore.</w:t>
            </w:r>
          </w:p>
        </w:tc>
      </w:tr>
      <w:tr w:rsidR="00093E56" w14:paraId="338556C6" w14:textId="77777777" w:rsidTr="00843505">
        <w:trPr>
          <w:trHeight w:val="1602"/>
        </w:trPr>
        <w:tc>
          <w:tcPr>
            <w:tcW w:w="618" w:type="dxa"/>
            <w:tcMar>
              <w:left w:w="108" w:type="dxa"/>
              <w:right w:w="108" w:type="dxa"/>
            </w:tcMar>
          </w:tcPr>
          <w:p w14:paraId="6EA137F7"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41</w:t>
            </w:r>
          </w:p>
        </w:tc>
        <w:tc>
          <w:tcPr>
            <w:tcW w:w="1158" w:type="dxa"/>
            <w:tcMar>
              <w:left w:w="108" w:type="dxa"/>
              <w:right w:w="108" w:type="dxa"/>
            </w:tcMar>
          </w:tcPr>
          <w:p w14:paraId="39ECEB3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108EA8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 – Përgjegjëse edhe ABGJ te Përgatitja e një analize krahasuese  mbi fondet për bashkëfinancim)</w:t>
            </w:r>
          </w:p>
        </w:tc>
        <w:tc>
          <w:tcPr>
            <w:tcW w:w="1468" w:type="dxa"/>
            <w:tcMar>
              <w:left w:w="108" w:type="dxa"/>
              <w:right w:w="108" w:type="dxa"/>
            </w:tcMar>
          </w:tcPr>
          <w:p w14:paraId="5E19604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0E8F88F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shtohet si institucion bashkëpunues në përgatitjen e analizës krahasuese mbi fondet për bashkëfinancim, duke pasur parasysh mandatin e saj për barazi gjinore dhe rëndësinë e integrimit të perspektivës gjinore në vlerësimin e mekanizmave të financimit.</w:t>
            </w:r>
          </w:p>
        </w:tc>
      </w:tr>
      <w:tr w:rsidR="00093E56" w14:paraId="05FC4741" w14:textId="77777777" w:rsidTr="00843505">
        <w:trPr>
          <w:trHeight w:val="1602"/>
        </w:trPr>
        <w:tc>
          <w:tcPr>
            <w:tcW w:w="618" w:type="dxa"/>
            <w:tcMar>
              <w:left w:w="108" w:type="dxa"/>
              <w:right w:w="108" w:type="dxa"/>
            </w:tcMar>
          </w:tcPr>
          <w:p w14:paraId="1D5EBFE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42</w:t>
            </w:r>
          </w:p>
        </w:tc>
        <w:tc>
          <w:tcPr>
            <w:tcW w:w="1158" w:type="dxa"/>
            <w:tcMar>
              <w:left w:w="108" w:type="dxa"/>
              <w:right w:w="108" w:type="dxa"/>
            </w:tcMar>
          </w:tcPr>
          <w:p w14:paraId="56F3B4F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E72313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Aktiviteti i pa qartë? A është kjo synim për centralizim ? Ministritë ndajnë fonde sipas fushëveperimtarise se tyre dhe rregullores ne fuqi (Veprimi- Vendosja e mekanizmit (fondi ose vija buxhetore) për bashkëfinancimin e projekteve të OSHC-ve të financuara nga BE-ja dhe donatorët tjerë)</w:t>
            </w:r>
          </w:p>
        </w:tc>
        <w:tc>
          <w:tcPr>
            <w:tcW w:w="1468" w:type="dxa"/>
            <w:tcMar>
              <w:left w:w="108" w:type="dxa"/>
              <w:right w:w="108" w:type="dxa"/>
            </w:tcMar>
          </w:tcPr>
          <w:p w14:paraId="5DD7ABE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35EAA65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Vendosja e mekanizmit (fondi ose vija buxhetore) për bashkëfinancimin e projekteve të OShC-ve të financuara nga BE-ja dhe donatorët e tjerë nuk synon centralizimin e fondeve, por koordinimin ndërinstitucional dhe krijimin e një qasjeje të unifikuar. Ministritë do të vazhdojnë të ndajnë fonde sipas fushëveprimit të tyre dhe rregullores në fuqi, ndërsa ky mekanizëm synon plotësimin e financimit ekzistues për bashkëfinancimin e projekteve te OSHCve .</w:t>
            </w:r>
          </w:p>
        </w:tc>
      </w:tr>
      <w:tr w:rsidR="00093E56" w14:paraId="1A70E954" w14:textId="77777777" w:rsidTr="00843505">
        <w:trPr>
          <w:trHeight w:val="1602"/>
        </w:trPr>
        <w:tc>
          <w:tcPr>
            <w:tcW w:w="618" w:type="dxa"/>
            <w:tcMar>
              <w:left w:w="108" w:type="dxa"/>
              <w:right w:w="108" w:type="dxa"/>
            </w:tcMar>
          </w:tcPr>
          <w:p w14:paraId="3A462E74"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43</w:t>
            </w:r>
          </w:p>
        </w:tc>
        <w:tc>
          <w:tcPr>
            <w:tcW w:w="1158" w:type="dxa"/>
            <w:tcMar>
              <w:left w:w="108" w:type="dxa"/>
              <w:right w:w="108" w:type="dxa"/>
            </w:tcMar>
          </w:tcPr>
          <w:p w14:paraId="3170E79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3706DD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Këtu duhet te jete edhe ABGJ marre parasysh mandatin e saj dhe mbështetjen e projekteve qe kane te bëjnë me barazinë gjinore dhe përfshirjen e treguesve gjinor ne projektet e BE (veprimi Përcaktimi i standardeve, procedurave dhe mekanizmave institucionalë për bashkëfinancimin e projekteve të OSHC-ve të financuara nga BE-ja dhe donatorët e tjerë)</w:t>
            </w:r>
          </w:p>
        </w:tc>
        <w:tc>
          <w:tcPr>
            <w:tcW w:w="1468" w:type="dxa"/>
            <w:tcMar>
              <w:left w:w="108" w:type="dxa"/>
              <w:right w:w="108" w:type="dxa"/>
            </w:tcMar>
          </w:tcPr>
          <w:p w14:paraId="1B325B2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75DF815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Ky aktivitet udhëhiqet nga Ministria e Financave, ZQM/KM është  institucion bashkëpunues në përcaktimin e standardeve, procedurave dhe mekanizmave institucionalë për bashkëfinancimin e projekteve të OShC-ve të financuara nga BE-ja dhe donatorët e tjerë, duke pasur parasysh mandatin e saj ne zbatimin e Rregullores per financim publik te OJQ-ve. ABGJ sigurisht se do të jete pjesë e këtij procesi pasë parsyshë standardet dhe mbështetjen e projekteve me perspektivë gjinore.</w:t>
            </w:r>
          </w:p>
        </w:tc>
      </w:tr>
      <w:tr w:rsidR="00093E56" w14:paraId="31671857" w14:textId="77777777" w:rsidTr="00843505">
        <w:trPr>
          <w:trHeight w:val="1602"/>
        </w:trPr>
        <w:tc>
          <w:tcPr>
            <w:tcW w:w="618" w:type="dxa"/>
            <w:tcMar>
              <w:left w:w="108" w:type="dxa"/>
              <w:right w:w="108" w:type="dxa"/>
            </w:tcMar>
          </w:tcPr>
          <w:p w14:paraId="78B3FA6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44</w:t>
            </w:r>
          </w:p>
        </w:tc>
        <w:tc>
          <w:tcPr>
            <w:tcW w:w="1158" w:type="dxa"/>
            <w:tcMar>
              <w:left w:w="108" w:type="dxa"/>
              <w:right w:w="108" w:type="dxa"/>
            </w:tcMar>
          </w:tcPr>
          <w:p w14:paraId="2B99444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1DD97D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se udhëheqësit te organizatës (Veprimi Hartimi dhe ofrimi i një programi trajnimi për nëpunësit civilë dhe OSHC-të  mbi përdorimin e standardeve dhe procedurave për bashkëfinancimin e projekteve të OSHC-ve të financuara nga BE-ja dhe donatorët tjerë)</w:t>
            </w:r>
          </w:p>
        </w:tc>
        <w:tc>
          <w:tcPr>
            <w:tcW w:w="1468" w:type="dxa"/>
            <w:tcMar>
              <w:left w:w="108" w:type="dxa"/>
              <w:right w:w="108" w:type="dxa"/>
            </w:tcMar>
          </w:tcPr>
          <w:p w14:paraId="1D16B52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0B2F51F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hartimit dhe ofrimit të programit të trajnimit për nëpunësit civilë dhe OShC-të mbi standardet dhe procedurat e bashkëfinancimit, të dhënat e pjesëmarrësve do të insistohet të ndahen sipas gjinisë. Kjo mundëson monitorimin e barazisë gjinore në ngritjen e kapacitet  dhe vlerësimin e ndikimit të trajnimeve.</w:t>
            </w:r>
          </w:p>
        </w:tc>
      </w:tr>
      <w:tr w:rsidR="00093E56" w14:paraId="592B393C" w14:textId="77777777" w:rsidTr="00843505">
        <w:trPr>
          <w:trHeight w:val="1602"/>
        </w:trPr>
        <w:tc>
          <w:tcPr>
            <w:tcW w:w="618" w:type="dxa"/>
            <w:tcMar>
              <w:left w:w="108" w:type="dxa"/>
              <w:right w:w="108" w:type="dxa"/>
            </w:tcMar>
          </w:tcPr>
          <w:p w14:paraId="5B1D8544"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45</w:t>
            </w:r>
          </w:p>
        </w:tc>
        <w:tc>
          <w:tcPr>
            <w:tcW w:w="1158" w:type="dxa"/>
            <w:tcMar>
              <w:left w:w="108" w:type="dxa"/>
              <w:right w:w="108" w:type="dxa"/>
            </w:tcMar>
          </w:tcPr>
          <w:p w14:paraId="168E5C5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E7A53B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Komenti- Me pjesëmarrje te barabarte te organizatave te grave (Organizimi i sesioneve informative për OSHC-të  mbi mundësitë për bashkëfinancim të </w:t>
            </w:r>
            <w:r>
              <w:rPr>
                <w:rFonts w:ascii="Candara" w:eastAsia="Times New Roman" w:hAnsi="Candara" w:cs="Calibri"/>
                <w:sz w:val="18"/>
                <w:szCs w:val="18"/>
                <w:lang w:val="sq-AL"/>
              </w:rPr>
              <w:lastRenderedPageBreak/>
              <w:t>projekteve të financuara nga BE-ja dhe donatorët tjerë.)</w:t>
            </w:r>
          </w:p>
        </w:tc>
        <w:tc>
          <w:tcPr>
            <w:tcW w:w="1468" w:type="dxa"/>
            <w:tcMar>
              <w:left w:w="108" w:type="dxa"/>
              <w:right w:w="108" w:type="dxa"/>
            </w:tcMar>
          </w:tcPr>
          <w:p w14:paraId="65EB98C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lastRenderedPageBreak/>
              <w:t>Nuk pranohet</w:t>
            </w:r>
          </w:p>
        </w:tc>
        <w:tc>
          <w:tcPr>
            <w:tcW w:w="4957" w:type="dxa"/>
            <w:tcMar>
              <w:left w:w="108" w:type="dxa"/>
              <w:right w:w="108" w:type="dxa"/>
            </w:tcMar>
          </w:tcPr>
          <w:p w14:paraId="1A520F8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Sesionet informative për OShC-të mbi mundësitë për bashkëfinancim të projekteve të financuara nga BE-ja dhe donatorët e tjerë janë të hapura për të gjitha organizatat e interesuara. Nxitja e organizatave të grave mbështetet përmes komunikimit gjithëpërfshirës, por garantimi formal i pjesëmarrjes ekskluzive të tyre nuk është i mundur, pasi </w:t>
            </w:r>
            <w:r>
              <w:rPr>
                <w:rFonts w:ascii="Candara" w:eastAsia="Times New Roman" w:hAnsi="Candara" w:cs="Calibri"/>
                <w:sz w:val="18"/>
                <w:szCs w:val="18"/>
                <w:lang w:val="sq-AL"/>
              </w:rPr>
              <w:lastRenderedPageBreak/>
              <w:t>bashkëfinancimi bazohet në kritere objektive të financuesve ndërkombëtarë.</w:t>
            </w:r>
          </w:p>
        </w:tc>
      </w:tr>
      <w:tr w:rsidR="00093E56" w14:paraId="24A89AFE" w14:textId="77777777" w:rsidTr="00843505">
        <w:trPr>
          <w:trHeight w:val="1602"/>
        </w:trPr>
        <w:tc>
          <w:tcPr>
            <w:tcW w:w="618" w:type="dxa"/>
            <w:tcMar>
              <w:left w:w="108" w:type="dxa"/>
              <w:right w:w="108" w:type="dxa"/>
            </w:tcMar>
          </w:tcPr>
          <w:p w14:paraId="6A3FA8A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46</w:t>
            </w:r>
          </w:p>
        </w:tc>
        <w:tc>
          <w:tcPr>
            <w:tcW w:w="1158" w:type="dxa"/>
            <w:tcMar>
              <w:left w:w="108" w:type="dxa"/>
              <w:right w:w="108" w:type="dxa"/>
            </w:tcMar>
          </w:tcPr>
          <w:p w14:paraId="27362A8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40A02F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se udhëheqësit/ses se organizatës (Treguesi: Pronat shtetërore të ndara për OSHC-të  sipas standardeve dhe procedurave transparente)</w:t>
            </w:r>
          </w:p>
        </w:tc>
        <w:tc>
          <w:tcPr>
            <w:tcW w:w="1468" w:type="dxa"/>
            <w:tcMar>
              <w:left w:w="108" w:type="dxa"/>
              <w:right w:w="108" w:type="dxa"/>
            </w:tcMar>
          </w:tcPr>
          <w:p w14:paraId="6F207E9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4CA658C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pronat shtetërore të ndara për OShC-të sipas standardeve transparente, të dhënat do të ndahen sipas gjinisë së udhëheqësit/es të organizatës përfituese. Kjo qasje mundëson transparencë gjinore dhe vlerësim të ndikimit të ndarjes së pronave publike mbi organizatat e udhëhequra nga gratë.</w:t>
            </w:r>
          </w:p>
        </w:tc>
      </w:tr>
      <w:tr w:rsidR="00093E56" w14:paraId="7EB96CEC" w14:textId="77777777" w:rsidTr="00843505">
        <w:trPr>
          <w:trHeight w:val="1602"/>
        </w:trPr>
        <w:tc>
          <w:tcPr>
            <w:tcW w:w="618" w:type="dxa"/>
            <w:tcMar>
              <w:left w:w="108" w:type="dxa"/>
              <w:right w:w="108" w:type="dxa"/>
            </w:tcMar>
          </w:tcPr>
          <w:p w14:paraId="734ECDCC"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47</w:t>
            </w:r>
          </w:p>
        </w:tc>
        <w:tc>
          <w:tcPr>
            <w:tcW w:w="1158" w:type="dxa"/>
            <w:tcMar>
              <w:left w:w="108" w:type="dxa"/>
              <w:right w:w="108" w:type="dxa"/>
            </w:tcMar>
          </w:tcPr>
          <w:p w14:paraId="313A0EE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B5AC79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(Treguesi: Numri i nëpunësve civilë  të trajnuar për zbatimin e standardeve, kritereve dhe procedurave të shfrytëzimit të pronës publike për shfrytëzim nga OSHC-të dhe produkti - Nëpunës civilë  të trajnuar për zbatimin e standardeve, kritereve dhe procedurave për ndarjen e pronës publike)</w:t>
            </w:r>
          </w:p>
        </w:tc>
        <w:tc>
          <w:tcPr>
            <w:tcW w:w="1468" w:type="dxa"/>
            <w:tcMar>
              <w:left w:w="108" w:type="dxa"/>
              <w:right w:w="108" w:type="dxa"/>
            </w:tcMar>
          </w:tcPr>
          <w:p w14:paraId="04A8395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 Pranohet pjesërisht</w:t>
            </w:r>
          </w:p>
        </w:tc>
        <w:tc>
          <w:tcPr>
            <w:tcW w:w="4957" w:type="dxa"/>
            <w:tcMar>
              <w:left w:w="108" w:type="dxa"/>
              <w:right w:w="108" w:type="dxa"/>
            </w:tcMar>
          </w:tcPr>
          <w:p w14:paraId="44AB67C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Të dhënat mbi nëpunësit civilë të trajnuar për zbatimin e standardeve dhe procedurave të shfrytëzimit të pronës publike do të insistohet dhe nxitet të ndahen sipas gjinisë. Kjo gjithsesi se do të siguronte ngritje të kapaciteteve institucionale dhe promovon barazinë gjinore në trajnime.</w:t>
            </w:r>
          </w:p>
        </w:tc>
      </w:tr>
      <w:tr w:rsidR="00093E56" w14:paraId="11CC32CB" w14:textId="77777777" w:rsidTr="00843505">
        <w:trPr>
          <w:trHeight w:val="1602"/>
        </w:trPr>
        <w:tc>
          <w:tcPr>
            <w:tcW w:w="618" w:type="dxa"/>
            <w:tcMar>
              <w:left w:w="108" w:type="dxa"/>
              <w:right w:w="108" w:type="dxa"/>
            </w:tcMar>
          </w:tcPr>
          <w:p w14:paraId="2A9490F2"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48</w:t>
            </w:r>
          </w:p>
        </w:tc>
        <w:tc>
          <w:tcPr>
            <w:tcW w:w="1158" w:type="dxa"/>
            <w:tcMar>
              <w:left w:w="108" w:type="dxa"/>
              <w:right w:w="108" w:type="dxa"/>
            </w:tcMar>
          </w:tcPr>
          <w:p w14:paraId="20896D7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338D74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(Veprimi -Analizë krahasuese mbi mbështetjen jo-financiare për OSHC-të  në bazë të modelit të propozuar për Kosovën)</w:t>
            </w:r>
          </w:p>
        </w:tc>
        <w:tc>
          <w:tcPr>
            <w:tcW w:w="1468" w:type="dxa"/>
            <w:tcMar>
              <w:left w:w="108" w:type="dxa"/>
              <w:right w:w="108" w:type="dxa"/>
            </w:tcMar>
          </w:tcPr>
          <w:p w14:paraId="46A88ED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4B7CE78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Analiza krahasuese mbi mbështetjen jo-financiare për OShC-të do të përfshijë të dhëna të ndara sipas gjinisë, ku kjo është e mundur dhe relevante. Kjo qasje mundëson vlerësim gjinor të modeleve ekzistuese dhe identifikimin e nevojave specifike të organizatave të udhëhequra nga gratë.</w:t>
            </w:r>
          </w:p>
        </w:tc>
      </w:tr>
      <w:tr w:rsidR="00093E56" w14:paraId="2CFA1E20" w14:textId="77777777" w:rsidTr="00843505">
        <w:trPr>
          <w:trHeight w:val="1602"/>
        </w:trPr>
        <w:tc>
          <w:tcPr>
            <w:tcW w:w="618" w:type="dxa"/>
            <w:tcMar>
              <w:left w:w="108" w:type="dxa"/>
              <w:right w:w="108" w:type="dxa"/>
            </w:tcMar>
          </w:tcPr>
          <w:p w14:paraId="61C5410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49</w:t>
            </w:r>
          </w:p>
        </w:tc>
        <w:tc>
          <w:tcPr>
            <w:tcW w:w="1158" w:type="dxa"/>
            <w:tcMar>
              <w:left w:w="108" w:type="dxa"/>
              <w:right w:w="108" w:type="dxa"/>
            </w:tcMar>
          </w:tcPr>
          <w:p w14:paraId="675D8F7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B56098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(Rezultati -Standardet, kriteret dhe procedurat transparente  për ndarjen e pronave publike për OSHC-të janë përmirësuar dhe miratuar.</w:t>
            </w:r>
          </w:p>
        </w:tc>
        <w:tc>
          <w:tcPr>
            <w:tcW w:w="1468" w:type="dxa"/>
            <w:tcMar>
              <w:left w:w="108" w:type="dxa"/>
              <w:right w:w="108" w:type="dxa"/>
            </w:tcMar>
          </w:tcPr>
          <w:p w14:paraId="7EB90B9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w:t>
            </w:r>
          </w:p>
        </w:tc>
        <w:tc>
          <w:tcPr>
            <w:tcW w:w="4957" w:type="dxa"/>
            <w:tcMar>
              <w:left w:w="108" w:type="dxa"/>
              <w:right w:w="108" w:type="dxa"/>
            </w:tcMar>
          </w:tcPr>
          <w:p w14:paraId="1BFF520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Standardet, kriteret dhe procedurat transparente për ndarjen e pronave publike për OShC-të do të hartohen bashke edhe me ABGJ , dhe të dhënat e ndara sipas gjinisë do të përfshihen ku kjo është e mundur  sipas kuadrin ligjor ekzistues.</w:t>
            </w:r>
          </w:p>
        </w:tc>
      </w:tr>
      <w:tr w:rsidR="00093E56" w14:paraId="7C4EB450" w14:textId="77777777" w:rsidTr="00843505">
        <w:trPr>
          <w:trHeight w:val="1602"/>
        </w:trPr>
        <w:tc>
          <w:tcPr>
            <w:tcW w:w="618" w:type="dxa"/>
            <w:tcMar>
              <w:left w:w="108" w:type="dxa"/>
              <w:right w:w="108" w:type="dxa"/>
            </w:tcMar>
          </w:tcPr>
          <w:p w14:paraId="12626DB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50</w:t>
            </w:r>
          </w:p>
        </w:tc>
        <w:tc>
          <w:tcPr>
            <w:tcW w:w="1158" w:type="dxa"/>
            <w:tcMar>
              <w:left w:w="108" w:type="dxa"/>
              <w:right w:w="108" w:type="dxa"/>
            </w:tcMar>
          </w:tcPr>
          <w:p w14:paraId="6517F93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3C1B1B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Me indikatorë gjinore ( veprimi - Udhëzues/manual  për ndarjen transparente të pronave publike për OSHC-të</w:t>
            </w:r>
          </w:p>
        </w:tc>
        <w:tc>
          <w:tcPr>
            <w:tcW w:w="1468" w:type="dxa"/>
            <w:tcMar>
              <w:left w:w="108" w:type="dxa"/>
              <w:right w:w="108" w:type="dxa"/>
            </w:tcMar>
          </w:tcPr>
          <w:p w14:paraId="18CB8C6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w:t>
            </w:r>
          </w:p>
        </w:tc>
        <w:tc>
          <w:tcPr>
            <w:tcW w:w="4957" w:type="dxa"/>
            <w:tcMar>
              <w:left w:w="108" w:type="dxa"/>
              <w:right w:w="108" w:type="dxa"/>
            </w:tcMar>
          </w:tcPr>
          <w:p w14:paraId="53D70E5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Udhëzuesi/manuali për ndarjen transparente të pronave publike për OShC-të do të përfshijë ABGJ si institucion përkrahës dhe përfshirja e indikatorët gjinor do te vendosen në proces bazuar në legjislacion.</w:t>
            </w:r>
          </w:p>
        </w:tc>
      </w:tr>
      <w:tr w:rsidR="00093E56" w14:paraId="31CB55CC" w14:textId="77777777" w:rsidTr="00843505">
        <w:trPr>
          <w:trHeight w:val="1602"/>
        </w:trPr>
        <w:tc>
          <w:tcPr>
            <w:tcW w:w="618" w:type="dxa"/>
            <w:tcMar>
              <w:left w:w="108" w:type="dxa"/>
              <w:right w:w="108" w:type="dxa"/>
            </w:tcMar>
          </w:tcPr>
          <w:p w14:paraId="7268598B"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51</w:t>
            </w:r>
          </w:p>
        </w:tc>
        <w:tc>
          <w:tcPr>
            <w:tcW w:w="1158" w:type="dxa"/>
            <w:tcMar>
              <w:left w:w="108" w:type="dxa"/>
              <w:right w:w="108" w:type="dxa"/>
            </w:tcMar>
          </w:tcPr>
          <w:p w14:paraId="28402CB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0FF849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Sipas gjinisë te dhënat (Veprimi - Zhvillimi dhe përmirësimi i Regjistrit Elektronik të pronës shtetërore të ndarë  për përdorim nga OSHC-të.)</w:t>
            </w:r>
          </w:p>
        </w:tc>
        <w:tc>
          <w:tcPr>
            <w:tcW w:w="1468" w:type="dxa"/>
            <w:tcMar>
              <w:left w:w="108" w:type="dxa"/>
              <w:right w:w="108" w:type="dxa"/>
            </w:tcMar>
          </w:tcPr>
          <w:p w14:paraId="258EDCE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74BDD61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Regjistri Elektronik i pronës shtetërore të ndarë për OShC-të do të përfshijë ABGJ si institucion përkrahës dhe kur te behet zhvillimi dhe përmirësimi i Regjistrit Elektronik të Pronës sigurisht se këto të dhëna të ndara sipas gjinisë së udhëheqësit/es të organizatës përfituese, do të jetë e mundur. Kjo qasje mundëson transparencë dhe analizë gjinore të shpërndarjes së pronave publike.</w:t>
            </w:r>
          </w:p>
        </w:tc>
      </w:tr>
      <w:tr w:rsidR="00093E56" w14:paraId="41B302FA" w14:textId="77777777" w:rsidTr="00843505">
        <w:trPr>
          <w:trHeight w:val="1602"/>
        </w:trPr>
        <w:tc>
          <w:tcPr>
            <w:tcW w:w="618" w:type="dxa"/>
            <w:tcMar>
              <w:left w:w="108" w:type="dxa"/>
              <w:right w:w="108" w:type="dxa"/>
            </w:tcMar>
          </w:tcPr>
          <w:p w14:paraId="60A74F5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52</w:t>
            </w:r>
          </w:p>
        </w:tc>
        <w:tc>
          <w:tcPr>
            <w:tcW w:w="1158" w:type="dxa"/>
            <w:tcMar>
              <w:left w:w="108" w:type="dxa"/>
              <w:right w:w="108" w:type="dxa"/>
            </w:tcMar>
          </w:tcPr>
          <w:p w14:paraId="0D9BD3D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E199B2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se udhëheqësit te organizatës(Treguesi: Shuma totale dhe % rritje vjetore e dhënies individuale dhe korporative për OSHC-të )</w:t>
            </w:r>
          </w:p>
        </w:tc>
        <w:tc>
          <w:tcPr>
            <w:tcW w:w="1468" w:type="dxa"/>
            <w:tcMar>
              <w:left w:w="108" w:type="dxa"/>
              <w:right w:w="108" w:type="dxa"/>
            </w:tcMar>
          </w:tcPr>
          <w:p w14:paraId="27629AD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0CDAD1E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shumën totale dhe rritjen vjetore të dhënies individuale dhe korporative për OShC-të, të dhënat do të ndahen sipas gjinisë së udhëheqësit/es të organizatës përfituese, aty ku kjo është e mundur. Kjo mundëson vlerësim gjinor të flukseve të filantropinë drejt sektorit civil.</w:t>
            </w:r>
          </w:p>
        </w:tc>
      </w:tr>
      <w:tr w:rsidR="00093E56" w14:paraId="5C37F59F" w14:textId="77777777" w:rsidTr="00843505">
        <w:trPr>
          <w:trHeight w:val="1602"/>
        </w:trPr>
        <w:tc>
          <w:tcPr>
            <w:tcW w:w="618" w:type="dxa"/>
            <w:tcMar>
              <w:left w:w="108" w:type="dxa"/>
              <w:right w:w="108" w:type="dxa"/>
            </w:tcMar>
          </w:tcPr>
          <w:p w14:paraId="0B8600EC"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53</w:t>
            </w:r>
          </w:p>
        </w:tc>
        <w:tc>
          <w:tcPr>
            <w:tcW w:w="1158" w:type="dxa"/>
            <w:tcMar>
              <w:left w:w="108" w:type="dxa"/>
              <w:right w:w="108" w:type="dxa"/>
            </w:tcMar>
          </w:tcPr>
          <w:p w14:paraId="2EDE17E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946EAC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Dhe organizatat e grave (Veprimi -Përmirësimi ose ndryshimi i rregullores për filantropinë/dhurimin individual dhe korporativ, duke zgjeruar aplikimin e saj në OSHC-të në fusha të ndryshme përtej rinisë, sportit dhe kulturës.)</w:t>
            </w:r>
          </w:p>
        </w:tc>
        <w:tc>
          <w:tcPr>
            <w:tcW w:w="1468" w:type="dxa"/>
            <w:tcMar>
              <w:left w:w="108" w:type="dxa"/>
              <w:right w:w="108" w:type="dxa"/>
            </w:tcMar>
          </w:tcPr>
          <w:p w14:paraId="50A9BE8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1AFFA3B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Përmirësimi i rregullores për filantropinë dhe dhurimin individual e korporativ synon zgjerimin e fushës së aplikimit për të gjitha OShC-të, pa dallim fushëveprimi. Nxitja e organizatave të grave është e mirëpritur si parim, por rregullorja nuk mund të favorizojë formalisht kategori të caktuara mbi bazë gjinore, pasi kjo do të binte ndesh me parimet e legjislacionit në fuqi për financimin publik dhe privat të shoqërisë civile.</w:t>
            </w:r>
          </w:p>
        </w:tc>
      </w:tr>
      <w:tr w:rsidR="00093E56" w14:paraId="413EF76C" w14:textId="77777777" w:rsidTr="00843505">
        <w:trPr>
          <w:trHeight w:val="1602"/>
        </w:trPr>
        <w:tc>
          <w:tcPr>
            <w:tcW w:w="618" w:type="dxa"/>
            <w:tcMar>
              <w:left w:w="108" w:type="dxa"/>
              <w:right w:w="108" w:type="dxa"/>
            </w:tcMar>
          </w:tcPr>
          <w:p w14:paraId="69D6CEAB"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54</w:t>
            </w:r>
          </w:p>
        </w:tc>
        <w:tc>
          <w:tcPr>
            <w:tcW w:w="1158" w:type="dxa"/>
            <w:tcMar>
              <w:left w:w="108" w:type="dxa"/>
              <w:right w:w="108" w:type="dxa"/>
            </w:tcMar>
          </w:tcPr>
          <w:p w14:paraId="70C3644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2EA5EF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Shto ABGJ si përgjegjës  duke pasur parasysh eksperiencën e saj ne ofrimin e granteve dhe subvencioneve për personat privat (Përgatitja e udhëzuesit/manualit , duke përfshirë komentimin e legjislacionit të miratuar, për dhënien individuale dhe korporative)</w:t>
            </w:r>
          </w:p>
        </w:tc>
        <w:tc>
          <w:tcPr>
            <w:tcW w:w="1468" w:type="dxa"/>
            <w:tcMar>
              <w:left w:w="108" w:type="dxa"/>
              <w:right w:w="108" w:type="dxa"/>
            </w:tcMar>
          </w:tcPr>
          <w:p w14:paraId="444B0B7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0E03C23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shtohet si institucion bashkëpunues në përgatitjen e udhëzuesit/manualit për dhënien individuale dhe korporative, duke pasur parasysh eksperiencën e saj në ofrimin e granteve dhe subvencioneve, si dhe mandatin për barazi gjinore. Kjo siguron integrimin e perspektivës gjinore dhe të drejtave të gruas në kornizën e re të filantropinë.</w:t>
            </w:r>
          </w:p>
        </w:tc>
      </w:tr>
      <w:tr w:rsidR="00093E56" w14:paraId="6D709711" w14:textId="77777777" w:rsidTr="00843505">
        <w:trPr>
          <w:trHeight w:val="1602"/>
        </w:trPr>
        <w:tc>
          <w:tcPr>
            <w:tcW w:w="618" w:type="dxa"/>
            <w:tcMar>
              <w:left w:w="108" w:type="dxa"/>
              <w:right w:w="108" w:type="dxa"/>
            </w:tcMar>
          </w:tcPr>
          <w:p w14:paraId="27A6C79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55</w:t>
            </w:r>
          </w:p>
        </w:tc>
        <w:tc>
          <w:tcPr>
            <w:tcW w:w="1158" w:type="dxa"/>
            <w:tcMar>
              <w:left w:w="108" w:type="dxa"/>
              <w:right w:w="108" w:type="dxa"/>
            </w:tcMar>
          </w:tcPr>
          <w:p w14:paraId="4443F87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EA0F7A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indikatorë gjinorë (veprimi -Përgatitja e udhëzuesit/manualit , duke përfshirë komentimin e legjislacionit të miratuar, për dhënien individuale dhe korporative.)</w:t>
            </w:r>
          </w:p>
        </w:tc>
        <w:tc>
          <w:tcPr>
            <w:tcW w:w="1468" w:type="dxa"/>
            <w:tcMar>
              <w:left w:w="108" w:type="dxa"/>
              <w:right w:w="108" w:type="dxa"/>
            </w:tcMar>
          </w:tcPr>
          <w:p w14:paraId="0049A18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23C591A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Udhëzuesi/manuali për dhënien individuale dhe korporative do të përfshijë indikatorë gjinorë, duke mundësuar vlerësimin e ndikimit gjinor të filantropinë dhe identifikimin e organizatave të udhëhequra nga gratë si përfituese të mundshme.</w:t>
            </w:r>
          </w:p>
        </w:tc>
      </w:tr>
      <w:tr w:rsidR="00093E56" w14:paraId="4127C356" w14:textId="77777777" w:rsidTr="00843505">
        <w:trPr>
          <w:trHeight w:val="1602"/>
        </w:trPr>
        <w:tc>
          <w:tcPr>
            <w:tcW w:w="618" w:type="dxa"/>
            <w:tcMar>
              <w:left w:w="108" w:type="dxa"/>
              <w:right w:w="108" w:type="dxa"/>
            </w:tcMar>
          </w:tcPr>
          <w:p w14:paraId="13605DA4"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56</w:t>
            </w:r>
          </w:p>
        </w:tc>
        <w:tc>
          <w:tcPr>
            <w:tcW w:w="1158" w:type="dxa"/>
            <w:tcMar>
              <w:left w:w="108" w:type="dxa"/>
              <w:right w:w="108" w:type="dxa"/>
            </w:tcMar>
          </w:tcPr>
          <w:p w14:paraId="72F516C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F786F1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Barazi gjinore, (Rezultati -Ekziston një mekanizëm funksional, në nivel kombëtar dhe lokal, që mundëson angazhimin efektiv të OSHC-ve në fushat e mbrojtjes sociale , arsimit, shëndetësisë, kulturës, etj.)</w:t>
            </w:r>
          </w:p>
        </w:tc>
        <w:tc>
          <w:tcPr>
            <w:tcW w:w="1468" w:type="dxa"/>
            <w:tcMar>
              <w:left w:w="108" w:type="dxa"/>
              <w:right w:w="108" w:type="dxa"/>
            </w:tcMar>
          </w:tcPr>
          <w:p w14:paraId="0A4BB80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15DFAE2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Barazia gjinore është parim horizontal i Planit të Veprimit dhe integrohet në rezultatin e pritur të Objektivit Specifik 3, i cili synon krijimin e një mekanizmi funksional, në nivel kombëtar dhe lokal, që mundëson angazhimin efektiv të OShC-ve, përfshirë organizatat e grave.</w:t>
            </w:r>
          </w:p>
        </w:tc>
      </w:tr>
      <w:tr w:rsidR="00093E56" w14:paraId="73C17521" w14:textId="77777777" w:rsidTr="00843505">
        <w:trPr>
          <w:trHeight w:val="1602"/>
        </w:trPr>
        <w:tc>
          <w:tcPr>
            <w:tcW w:w="618" w:type="dxa"/>
            <w:tcMar>
              <w:left w:w="108" w:type="dxa"/>
              <w:right w:w="108" w:type="dxa"/>
            </w:tcMar>
          </w:tcPr>
          <w:p w14:paraId="2D7D9F8C"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57</w:t>
            </w:r>
          </w:p>
        </w:tc>
        <w:tc>
          <w:tcPr>
            <w:tcW w:w="1158" w:type="dxa"/>
            <w:tcMar>
              <w:left w:w="108" w:type="dxa"/>
              <w:right w:w="108" w:type="dxa"/>
            </w:tcMar>
          </w:tcPr>
          <w:p w14:paraId="475E878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0819BA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Organizatat e grave (Treguesi: Përmirësimi i kornizës strategjike kombëtare dhe i qasjes institucionale, në mënyrë që të forcohet roli i organizatave të shoqërisë civile (OSHC ) në ofrimin e shërbimeve publike)</w:t>
            </w:r>
          </w:p>
        </w:tc>
        <w:tc>
          <w:tcPr>
            <w:tcW w:w="1468" w:type="dxa"/>
            <w:tcMar>
              <w:left w:w="108" w:type="dxa"/>
              <w:right w:w="108" w:type="dxa"/>
            </w:tcMar>
          </w:tcPr>
          <w:p w14:paraId="573C770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45AF5E4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Treguesit e Objektivit Specifik 3 synojnë vlerësimin e kornizës strategjike kombëtare dhe qasjes institucionale për forcimin e rolit të OShC-ve në ofrimin e shërbimeve publike. Nxitja e organizatave të grave bëhet përmes parimeve gjithëpërfshirëse të thirrjeve publike, por nuk mund të vendoset si tregues i veçantë, pasi kontraktimi bazohet në kritere ligjore dhe kapacitete profesionale, jo ekskluzivisht gjinore.</w:t>
            </w:r>
          </w:p>
        </w:tc>
      </w:tr>
      <w:tr w:rsidR="00093E56" w14:paraId="6DA501AA" w14:textId="77777777" w:rsidTr="00843505">
        <w:trPr>
          <w:trHeight w:val="1602"/>
        </w:trPr>
        <w:tc>
          <w:tcPr>
            <w:tcW w:w="618" w:type="dxa"/>
            <w:tcMar>
              <w:left w:w="108" w:type="dxa"/>
              <w:right w:w="108" w:type="dxa"/>
            </w:tcMar>
          </w:tcPr>
          <w:p w14:paraId="5FB765ED"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58</w:t>
            </w:r>
          </w:p>
        </w:tc>
        <w:tc>
          <w:tcPr>
            <w:tcW w:w="1158" w:type="dxa"/>
            <w:tcMar>
              <w:left w:w="108" w:type="dxa"/>
              <w:right w:w="108" w:type="dxa"/>
            </w:tcMar>
          </w:tcPr>
          <w:p w14:paraId="19CE278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4CEB47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(Treguesi: Numri i organizatave të shoqërisë civile (OSHC) të kontraktuara për  ofrimin e shërbimeve publike përmes thirrjeve ose tenderëve publik brenda vitit)</w:t>
            </w:r>
          </w:p>
        </w:tc>
        <w:tc>
          <w:tcPr>
            <w:tcW w:w="1468" w:type="dxa"/>
            <w:tcMar>
              <w:left w:w="108" w:type="dxa"/>
              <w:right w:w="108" w:type="dxa"/>
            </w:tcMar>
          </w:tcPr>
          <w:p w14:paraId="58ED237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1C75C8C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Gjatë raportimit mbi numrin e OShC-ve të kontraktuara për ofrimin e shërbimeve publike, të dhënat do të ndahen sipas gjinisë së udhëheqësit/es të organizatës, ku kjo është e mundur. </w:t>
            </w:r>
          </w:p>
        </w:tc>
      </w:tr>
      <w:tr w:rsidR="00093E56" w14:paraId="432D443B" w14:textId="77777777" w:rsidTr="00843505">
        <w:trPr>
          <w:trHeight w:val="1602"/>
        </w:trPr>
        <w:tc>
          <w:tcPr>
            <w:tcW w:w="618" w:type="dxa"/>
            <w:tcMar>
              <w:left w:w="108" w:type="dxa"/>
              <w:right w:w="108" w:type="dxa"/>
            </w:tcMar>
          </w:tcPr>
          <w:p w14:paraId="6E3DC28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59</w:t>
            </w:r>
          </w:p>
        </w:tc>
        <w:tc>
          <w:tcPr>
            <w:tcW w:w="1158" w:type="dxa"/>
            <w:tcMar>
              <w:left w:w="108" w:type="dxa"/>
              <w:right w:w="108" w:type="dxa"/>
            </w:tcMar>
          </w:tcPr>
          <w:p w14:paraId="525BB07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28EC5B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Barazi gjinore ( Objektivi specifik 3.1: Përmirësimi dhe miratimi i një rregulloreje të unifikuar për ofrimin e shërbimeve publike dhe vendosja e standardeve minimale për të gjitha fushat (mbrojtje sociale , arsimi, shëndetësia, kultura, etj.)</w:t>
            </w:r>
          </w:p>
        </w:tc>
        <w:tc>
          <w:tcPr>
            <w:tcW w:w="1468" w:type="dxa"/>
            <w:tcMar>
              <w:left w:w="108" w:type="dxa"/>
              <w:right w:w="108" w:type="dxa"/>
            </w:tcMar>
          </w:tcPr>
          <w:p w14:paraId="5A42CAB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4F67261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Barazia gjinore integrohet si parim horizontal në Objektivin Specifik 3.1, i cili synon përmirësimin dhe miratimin e rregullores së unifikuar për ofrimin e shërbimeve publike. Gjatë hartimit të rregullores do të merren parasysh nevojat gjinore dhe do të përfshihet perspektiva e barazisë gjinore në standardet minimale për të gjitha fushat.</w:t>
            </w:r>
          </w:p>
        </w:tc>
      </w:tr>
      <w:tr w:rsidR="00093E56" w14:paraId="0CF64DC8" w14:textId="77777777" w:rsidTr="00843505">
        <w:trPr>
          <w:trHeight w:val="1602"/>
        </w:trPr>
        <w:tc>
          <w:tcPr>
            <w:tcW w:w="618" w:type="dxa"/>
            <w:tcMar>
              <w:left w:w="108" w:type="dxa"/>
              <w:right w:w="108" w:type="dxa"/>
            </w:tcMar>
          </w:tcPr>
          <w:p w14:paraId="3A9F594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60</w:t>
            </w:r>
          </w:p>
        </w:tc>
        <w:tc>
          <w:tcPr>
            <w:tcW w:w="1158" w:type="dxa"/>
            <w:tcMar>
              <w:left w:w="108" w:type="dxa"/>
              <w:right w:w="108" w:type="dxa"/>
            </w:tcMar>
          </w:tcPr>
          <w:p w14:paraId="0E3114C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BF7905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vlerësim te ndikimit gjinore (Treguesi: Legjislacioni që rregullon standardet dhe procedurat  për ofrimin e shërbimeve publike nga OSHC-të është i miratuar, i zbatuar dhe krijon kushte të favorshme për funksionimin efektiv të OSHC-ve)</w:t>
            </w:r>
          </w:p>
        </w:tc>
        <w:tc>
          <w:tcPr>
            <w:tcW w:w="1468" w:type="dxa"/>
            <w:tcMar>
              <w:left w:w="108" w:type="dxa"/>
              <w:right w:w="108" w:type="dxa"/>
            </w:tcMar>
          </w:tcPr>
          <w:p w14:paraId="3368C58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556E8BC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vlerësimit të legjislacionit që rregullon standardet dhe procedurat për ofrimin e shërbimeve publike nga OShC-të, do të kryhet vlerësim per te gjitha fushat e edhe ati te ndikimit gjinor, me qëllim sigurimin që legjislacioni është neutral gjerësisht dhe krijon kushte të favorshme për të gjitha organizatat, përfshirë ato të udhëhequra nga gratë.</w:t>
            </w:r>
          </w:p>
        </w:tc>
      </w:tr>
      <w:tr w:rsidR="00093E56" w14:paraId="1AE575C8" w14:textId="77777777" w:rsidTr="00843505">
        <w:trPr>
          <w:trHeight w:val="1602"/>
        </w:trPr>
        <w:tc>
          <w:tcPr>
            <w:tcW w:w="618" w:type="dxa"/>
            <w:tcMar>
              <w:left w:w="108" w:type="dxa"/>
              <w:right w:w="108" w:type="dxa"/>
            </w:tcMar>
          </w:tcPr>
          <w:p w14:paraId="6012B35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61</w:t>
            </w:r>
          </w:p>
        </w:tc>
        <w:tc>
          <w:tcPr>
            <w:tcW w:w="1158" w:type="dxa"/>
            <w:tcMar>
              <w:left w:w="108" w:type="dxa"/>
              <w:right w:w="108" w:type="dxa"/>
            </w:tcMar>
          </w:tcPr>
          <w:p w14:paraId="4878027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F02E5C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ndare sipas gjinisë (Treguesi: Përqindja e stafit përkatës  në ministri dhe komuna që zbaton rregulloren/procedurën e re për kontraktimin e OSHC-ve për ofrimin e shërbimeve publike.)</w:t>
            </w:r>
          </w:p>
        </w:tc>
        <w:tc>
          <w:tcPr>
            <w:tcW w:w="1468" w:type="dxa"/>
            <w:tcMar>
              <w:left w:w="108" w:type="dxa"/>
              <w:right w:w="108" w:type="dxa"/>
            </w:tcMar>
          </w:tcPr>
          <w:p w14:paraId="6D368BC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609DA59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matjes së përqindjes së stafit relevant në ministri dhe komuna që zbaton rregulloren/procedurën e re për kontraktimin e OShC-ve, të ndahen të dhëna sipas gjinisë nuk është relaevante. Institucioni duhet te beje monitorim per ngritjen e kapaciteteve institucionale për zbatimin e rregullores.</w:t>
            </w:r>
          </w:p>
        </w:tc>
      </w:tr>
      <w:tr w:rsidR="00093E56" w14:paraId="629301E7" w14:textId="77777777" w:rsidTr="00843505">
        <w:trPr>
          <w:trHeight w:val="1602"/>
        </w:trPr>
        <w:tc>
          <w:tcPr>
            <w:tcW w:w="618" w:type="dxa"/>
            <w:tcMar>
              <w:left w:w="108" w:type="dxa"/>
              <w:right w:w="108" w:type="dxa"/>
            </w:tcMar>
          </w:tcPr>
          <w:p w14:paraId="6FE445C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62</w:t>
            </w:r>
          </w:p>
        </w:tc>
        <w:tc>
          <w:tcPr>
            <w:tcW w:w="1158" w:type="dxa"/>
            <w:tcMar>
              <w:left w:w="108" w:type="dxa"/>
              <w:right w:w="108" w:type="dxa"/>
            </w:tcMar>
          </w:tcPr>
          <w:p w14:paraId="2355F87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42A2CA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Veprimi -Hartimi dhe përmirësimi i rregullores së re për standardet, procedurat dhe kriteret që rregullojnë ofrimin e shërbimeve publike nga OSHC-të)</w:t>
            </w:r>
          </w:p>
        </w:tc>
        <w:tc>
          <w:tcPr>
            <w:tcW w:w="1468" w:type="dxa"/>
            <w:tcMar>
              <w:left w:w="108" w:type="dxa"/>
              <w:right w:w="108" w:type="dxa"/>
            </w:tcMar>
          </w:tcPr>
          <w:p w14:paraId="51009FD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200107C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hartimit dhe përmirësimit të rregullores së re për standardet, procedurat dhe kriteret që rregullojnë ofrimin e shërbimeve publike nga OShC-të, do të integrohet perspektiva gjinore, duke siguruar që rregullorja është gjithëpërfshirëse dhe promovon barazinë gjinore në procesin e kontraktimit.</w:t>
            </w:r>
          </w:p>
        </w:tc>
      </w:tr>
      <w:tr w:rsidR="00093E56" w14:paraId="423C4D1F" w14:textId="77777777" w:rsidTr="00843505">
        <w:trPr>
          <w:trHeight w:val="1602"/>
        </w:trPr>
        <w:tc>
          <w:tcPr>
            <w:tcW w:w="618" w:type="dxa"/>
            <w:tcMar>
              <w:left w:w="108" w:type="dxa"/>
              <w:right w:w="108" w:type="dxa"/>
            </w:tcMar>
          </w:tcPr>
          <w:p w14:paraId="3CBCDAC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63</w:t>
            </w:r>
          </w:p>
        </w:tc>
        <w:tc>
          <w:tcPr>
            <w:tcW w:w="1158" w:type="dxa"/>
            <w:tcMar>
              <w:left w:w="108" w:type="dxa"/>
              <w:right w:w="108" w:type="dxa"/>
            </w:tcMar>
          </w:tcPr>
          <w:p w14:paraId="3420DDC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BE9EA7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Sipas fushave te profilizuara dhe me vlerësim te ndikimit gjinorë (Veprimi Përgatitja e një manuali udhëzues për kontraktimin e OSHC-ve  për ofrimin e shërbimeve publike, duke u bazuar në kuadrin ligjor të përditësuar)</w:t>
            </w:r>
          </w:p>
        </w:tc>
        <w:tc>
          <w:tcPr>
            <w:tcW w:w="1468" w:type="dxa"/>
            <w:tcMar>
              <w:left w:w="108" w:type="dxa"/>
              <w:right w:w="108" w:type="dxa"/>
            </w:tcMar>
          </w:tcPr>
          <w:p w14:paraId="07D4039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6B9B5C9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Manuali udhëzues për kontraktimin e OShC-ve për ofrimin e shërbimeve publike do të hartojë kritere sipas fushave të profilizuara dhe do të përfshijë vlerësim të ndikimit gjinor, duke siguruar që procesi i kontraktimit merr parasysh nevojat e grupeve të ndryshme gjinore dhe promovon përfshirjen e organizatave të specializuara.</w:t>
            </w:r>
          </w:p>
        </w:tc>
      </w:tr>
      <w:tr w:rsidR="00093E56" w14:paraId="51A440E1" w14:textId="77777777" w:rsidTr="00843505">
        <w:trPr>
          <w:trHeight w:val="1602"/>
        </w:trPr>
        <w:tc>
          <w:tcPr>
            <w:tcW w:w="618" w:type="dxa"/>
            <w:tcMar>
              <w:left w:w="108" w:type="dxa"/>
              <w:right w:w="108" w:type="dxa"/>
            </w:tcMar>
          </w:tcPr>
          <w:p w14:paraId="1E677BB3"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64</w:t>
            </w:r>
          </w:p>
        </w:tc>
        <w:tc>
          <w:tcPr>
            <w:tcW w:w="1158" w:type="dxa"/>
            <w:tcMar>
              <w:left w:w="108" w:type="dxa"/>
              <w:right w:w="108" w:type="dxa"/>
            </w:tcMar>
          </w:tcPr>
          <w:p w14:paraId="030148E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356E60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 te shtohet si përgjegjës ZQM/ZKM, MF, MD, MSH ., të gjitha ministritë përkatëse(Përgatitja e një manuali udhëzues për kontraktimin e OSHC-ve  për ofrimin e shërbimeve publike, duke u bazuar në kuadrin ligjor të përditësuar)</w:t>
            </w:r>
          </w:p>
        </w:tc>
        <w:tc>
          <w:tcPr>
            <w:tcW w:w="1468" w:type="dxa"/>
            <w:tcMar>
              <w:left w:w="108" w:type="dxa"/>
              <w:right w:w="108" w:type="dxa"/>
            </w:tcMar>
          </w:tcPr>
          <w:p w14:paraId="17C3EDD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52884AA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shtohet si institucion bashkëpunues në përgatitjen e manualit udhëzues për kontraktimin e OShC-ve, bashkë me ZQM/ZKM, MF, MD dhe MSH, duke pasur parasysh mandatin e saj për barazi gjinore dhe rëndësinë e integrimit të perspektivës gjinore në standardet e kontraktimit të shërbimeve publike.</w:t>
            </w:r>
          </w:p>
        </w:tc>
      </w:tr>
      <w:tr w:rsidR="00093E56" w14:paraId="66431BBA" w14:textId="77777777" w:rsidTr="00843505">
        <w:trPr>
          <w:trHeight w:val="1602"/>
        </w:trPr>
        <w:tc>
          <w:tcPr>
            <w:tcW w:w="618" w:type="dxa"/>
            <w:tcMar>
              <w:left w:w="108" w:type="dxa"/>
              <w:right w:w="108" w:type="dxa"/>
            </w:tcMar>
          </w:tcPr>
          <w:p w14:paraId="2559E6A2"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65</w:t>
            </w:r>
          </w:p>
        </w:tc>
        <w:tc>
          <w:tcPr>
            <w:tcW w:w="1158" w:type="dxa"/>
            <w:tcMar>
              <w:left w:w="108" w:type="dxa"/>
              <w:right w:w="108" w:type="dxa"/>
            </w:tcMar>
          </w:tcPr>
          <w:p w14:paraId="04F1A81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5CA995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ABGJ te shtohet si përgjegjës ( veprimi -Kategorizimi i shërbimeve dhe përgatitja e një katalogu të llojeve të shërbimeve publike për OSHC-të)</w:t>
            </w:r>
          </w:p>
        </w:tc>
        <w:tc>
          <w:tcPr>
            <w:tcW w:w="1468" w:type="dxa"/>
            <w:tcMar>
              <w:left w:w="108" w:type="dxa"/>
              <w:right w:w="108" w:type="dxa"/>
            </w:tcMar>
          </w:tcPr>
          <w:p w14:paraId="0869FC7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65075B3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 shtohet si institucion bashkëpunues në kategorizimin e shërbimeve dhe përgatitjen e katalogut të llojeve të shërbimeve publike për OShC-të, me qëllim sigurimin që kategoritë e shërbimeve reflektojnë nevojat gjinore dhe përfshijnë shërbimet e specializuara për gratë, vajzat dhe grupet e margjinalizuara.</w:t>
            </w:r>
          </w:p>
        </w:tc>
      </w:tr>
      <w:tr w:rsidR="00093E56" w14:paraId="13075BE6" w14:textId="77777777" w:rsidTr="00843505">
        <w:trPr>
          <w:trHeight w:val="1602"/>
        </w:trPr>
        <w:tc>
          <w:tcPr>
            <w:tcW w:w="618" w:type="dxa"/>
            <w:tcMar>
              <w:left w:w="108" w:type="dxa"/>
              <w:right w:w="108" w:type="dxa"/>
            </w:tcMar>
          </w:tcPr>
          <w:p w14:paraId="378BAB1A"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66</w:t>
            </w:r>
          </w:p>
        </w:tc>
        <w:tc>
          <w:tcPr>
            <w:tcW w:w="1158" w:type="dxa"/>
            <w:tcMar>
              <w:left w:w="108" w:type="dxa"/>
              <w:right w:w="108" w:type="dxa"/>
            </w:tcMar>
          </w:tcPr>
          <w:p w14:paraId="042FD9F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AC8AFB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Target OSHC e specializuar/profilizuara ( viktimat e dhunës; te mbijetuarat e dhunës seksuale; grupet e maragjinalizuara)                                                       (Veprimi -Organizimi i një fushate informimi për të rritur ndërgjegjësimin e OSHC-ve  mbi mundësitë për të kontribuar në ofrimin e shërbimeve publike)</w:t>
            </w:r>
          </w:p>
        </w:tc>
        <w:tc>
          <w:tcPr>
            <w:tcW w:w="1468" w:type="dxa"/>
            <w:tcMar>
              <w:left w:w="108" w:type="dxa"/>
              <w:right w:w="108" w:type="dxa"/>
            </w:tcMar>
          </w:tcPr>
          <w:p w14:paraId="4008FB8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33A66F4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Fushata e informimit për rritjen e ndërgjegjësimit të OShC-ve mbi mundësitë për të kontribuar në ofrimin e shërbimeve publike do të targetojë edhe OShC-të e specializuara, duke përfshirë organizatat që punojnë me viktimat e dhunës, të mbijetuarat e dhunës seksuale dhe grupet e margjinalizuara. Kjo qasje mundëson adresimin e nevojave specifike gjinore dhe sociale në ofrimin e shërbimeve publike.</w:t>
            </w:r>
          </w:p>
        </w:tc>
      </w:tr>
      <w:tr w:rsidR="00093E56" w14:paraId="4CFA976C" w14:textId="77777777" w:rsidTr="00843505">
        <w:trPr>
          <w:trHeight w:val="1602"/>
        </w:trPr>
        <w:tc>
          <w:tcPr>
            <w:tcW w:w="618" w:type="dxa"/>
            <w:tcMar>
              <w:left w:w="108" w:type="dxa"/>
              <w:right w:w="108" w:type="dxa"/>
            </w:tcMar>
          </w:tcPr>
          <w:p w14:paraId="1C5D3204"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67</w:t>
            </w:r>
          </w:p>
        </w:tc>
        <w:tc>
          <w:tcPr>
            <w:tcW w:w="1158" w:type="dxa"/>
            <w:tcMar>
              <w:left w:w="108" w:type="dxa"/>
              <w:right w:w="108" w:type="dxa"/>
            </w:tcMar>
          </w:tcPr>
          <w:p w14:paraId="3E54846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4B68C2D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 Veprimi -Numri i nëpunësve civilë të trajnuar  mbi kontraktimin e OSHC-ve dhe mbi modelet e ndryshme të ofrimit të shërbimeve publike</w:t>
            </w:r>
          </w:p>
        </w:tc>
        <w:tc>
          <w:tcPr>
            <w:tcW w:w="1468" w:type="dxa"/>
            <w:tcMar>
              <w:left w:w="108" w:type="dxa"/>
              <w:right w:w="108" w:type="dxa"/>
            </w:tcMar>
          </w:tcPr>
          <w:p w14:paraId="0D08181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0A8FE2C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numrin e nëpunësve civilë të trajnuar mbi kontraktimin e OShC-ve dhe modelet e ndryshme të ofrimit të shërbimeve publike, të dhënat do të ndahen sipas gjinisë aty ku është e munduar. Kjo qasje mundëson monitorim gjinor të kapaciteteve institucionale dhe vlerësim të barazisë gjinore në trajnime.</w:t>
            </w:r>
          </w:p>
        </w:tc>
      </w:tr>
      <w:tr w:rsidR="00093E56" w14:paraId="6996918F" w14:textId="77777777" w:rsidTr="00843505">
        <w:trPr>
          <w:trHeight w:val="1602"/>
        </w:trPr>
        <w:tc>
          <w:tcPr>
            <w:tcW w:w="618" w:type="dxa"/>
            <w:tcMar>
              <w:left w:w="108" w:type="dxa"/>
              <w:right w:w="108" w:type="dxa"/>
            </w:tcMar>
          </w:tcPr>
          <w:p w14:paraId="448FE28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68</w:t>
            </w:r>
          </w:p>
        </w:tc>
        <w:tc>
          <w:tcPr>
            <w:tcW w:w="1158" w:type="dxa"/>
            <w:tcMar>
              <w:left w:w="108" w:type="dxa"/>
              <w:right w:w="108" w:type="dxa"/>
            </w:tcMar>
          </w:tcPr>
          <w:p w14:paraId="5EF1214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396F71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sigurohet pjesëmarrje e barabartë gjinore (  rezultati Nëpunësit civilë  janë trajnuar dhe gati për të zbatuar rregulloren e re për kontraktimin e OSHC-</w:t>
            </w:r>
            <w:r>
              <w:rPr>
                <w:rFonts w:ascii="Candara" w:eastAsia="Times New Roman" w:hAnsi="Candara" w:cs="Calibri"/>
                <w:sz w:val="18"/>
                <w:szCs w:val="18"/>
                <w:lang w:val="sq-AL"/>
              </w:rPr>
              <w:lastRenderedPageBreak/>
              <w:t>ve në ofrimin e shërbimeve publike.</w:t>
            </w:r>
          </w:p>
        </w:tc>
        <w:tc>
          <w:tcPr>
            <w:tcW w:w="1468" w:type="dxa"/>
            <w:tcMar>
              <w:left w:w="108" w:type="dxa"/>
              <w:right w:w="108" w:type="dxa"/>
            </w:tcMar>
          </w:tcPr>
          <w:p w14:paraId="3191F3B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lastRenderedPageBreak/>
              <w:t>Nuk pranohet</w:t>
            </w:r>
          </w:p>
        </w:tc>
        <w:tc>
          <w:tcPr>
            <w:tcW w:w="4957" w:type="dxa"/>
            <w:tcMar>
              <w:left w:w="108" w:type="dxa"/>
              <w:right w:w="108" w:type="dxa"/>
            </w:tcMar>
          </w:tcPr>
          <w:p w14:paraId="473F7C7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Trajnimet për nëpunësit civilë mbi zbatimin e rregullores së re për kontraktimin e OShC-ve nuk mund të organizohen apo ndahen vetëm sipas kriterit gjinor, pasi qëllimi i tyre është fuqizimi i kapaciteteve profesionale institucionale. Të dhënat e pjesëmarrjes do të ndahen sipas gjinisë për qëllime monitorimi, por vetë procesi i trajnimit është i hapur dhe jo i kufizuar gjinërisht.</w:t>
            </w:r>
          </w:p>
        </w:tc>
      </w:tr>
      <w:tr w:rsidR="00093E56" w14:paraId="20FC1770" w14:textId="77777777" w:rsidTr="00843505">
        <w:trPr>
          <w:trHeight w:val="1602"/>
        </w:trPr>
        <w:tc>
          <w:tcPr>
            <w:tcW w:w="618" w:type="dxa"/>
            <w:tcMar>
              <w:left w:w="108" w:type="dxa"/>
              <w:right w:w="108" w:type="dxa"/>
            </w:tcMar>
          </w:tcPr>
          <w:p w14:paraId="505AFADB"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69</w:t>
            </w:r>
          </w:p>
        </w:tc>
        <w:tc>
          <w:tcPr>
            <w:tcW w:w="1158" w:type="dxa"/>
            <w:tcMar>
              <w:left w:w="108" w:type="dxa"/>
              <w:right w:w="108" w:type="dxa"/>
            </w:tcMar>
          </w:tcPr>
          <w:p w14:paraId="4D56909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CF5629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pjesëmarrje te barabarte gjinore –( veprimi - Dizajnimi dhe ofrimi i programit të trajnimit për ngritjen e kapaciteteve të nëpunësve civilë në nivel kombëtar dhe lokal , bazuar në manualin udhëzues për kontraktimin e OSHC-ve.</w:t>
            </w:r>
          </w:p>
        </w:tc>
        <w:tc>
          <w:tcPr>
            <w:tcW w:w="1468" w:type="dxa"/>
            <w:tcMar>
              <w:left w:w="108" w:type="dxa"/>
              <w:right w:w="108" w:type="dxa"/>
            </w:tcMar>
          </w:tcPr>
          <w:p w14:paraId="3CD533F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5A37928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Programi i trajnimit për ngritjen e kapaciteteve të nëpunësve civilë në nivel kombëtar dhe lokal nuk mund të kushtëzohet me pjesëmarrje të barabartë gjinore si kriter formal, pasi trajnimet synojnë fuqizimin e të gjithë stafit përgjegjës, pavarësisht gjinisë. Promovimi i barazisë gjinore do të bëhet nëpërmjet të dhënave të ndara sipas gjinisë për monitorim dhe raportim.</w:t>
            </w:r>
          </w:p>
        </w:tc>
      </w:tr>
      <w:tr w:rsidR="00093E56" w14:paraId="779F58D3" w14:textId="77777777" w:rsidTr="00843505">
        <w:trPr>
          <w:trHeight w:val="1602"/>
        </w:trPr>
        <w:tc>
          <w:tcPr>
            <w:tcW w:w="618" w:type="dxa"/>
            <w:tcMar>
              <w:left w:w="108" w:type="dxa"/>
              <w:right w:w="108" w:type="dxa"/>
            </w:tcMar>
          </w:tcPr>
          <w:p w14:paraId="021BDC7D"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70</w:t>
            </w:r>
          </w:p>
        </w:tc>
        <w:tc>
          <w:tcPr>
            <w:tcW w:w="1158" w:type="dxa"/>
            <w:tcMar>
              <w:left w:w="108" w:type="dxa"/>
              <w:right w:w="108" w:type="dxa"/>
            </w:tcMar>
          </w:tcPr>
          <w:p w14:paraId="01E64EC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B67DD1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(rezultati -Janë organizuar 3 sesione trajnimi për nëpunësit civilë në nivel kombëtar dhe lokal, bazuar në manualin udhëzues për kontraktimin e OSHC-ve.)</w:t>
            </w:r>
          </w:p>
        </w:tc>
        <w:tc>
          <w:tcPr>
            <w:tcW w:w="1468" w:type="dxa"/>
            <w:tcMar>
              <w:left w:w="108" w:type="dxa"/>
              <w:right w:w="108" w:type="dxa"/>
            </w:tcMar>
          </w:tcPr>
          <w:p w14:paraId="5A9994D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50EEE3A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Të dhënat e ndara sipas gjinisë do të merren në konsideratë për monitorimin e pjesëmarrjes në sesionet e trajnimit. Megjithatë, organizimi i sesioneve bazohet në nevojat kapacituese institucionale dhe jo ekskluzivisht në kriterin gjinor, pasi nëpunësit civilë nga të gjitha pozitat relevante kanë nevojë për trajnim mbi kontraktimin e OShC-ve.</w:t>
            </w:r>
          </w:p>
        </w:tc>
      </w:tr>
      <w:tr w:rsidR="00093E56" w14:paraId="063CBE50" w14:textId="77777777" w:rsidTr="00843505">
        <w:trPr>
          <w:trHeight w:val="1602"/>
        </w:trPr>
        <w:tc>
          <w:tcPr>
            <w:tcW w:w="618" w:type="dxa"/>
            <w:tcMar>
              <w:left w:w="108" w:type="dxa"/>
              <w:right w:w="108" w:type="dxa"/>
            </w:tcMar>
          </w:tcPr>
          <w:p w14:paraId="371F7F7A"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71</w:t>
            </w:r>
          </w:p>
        </w:tc>
        <w:tc>
          <w:tcPr>
            <w:tcW w:w="1158" w:type="dxa"/>
            <w:tcMar>
              <w:left w:w="108" w:type="dxa"/>
              <w:right w:w="108" w:type="dxa"/>
            </w:tcMar>
          </w:tcPr>
          <w:p w14:paraId="4E6A49A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E987FC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përfaqësim te barabarte gjinorë (veprimi Krijimi i një trupi koordinues për monitorimin dhe mbikëqyrjen e zbatimit të procedurës për kontraktimin e OSHC-ve për shërbime publike.</w:t>
            </w:r>
          </w:p>
        </w:tc>
        <w:tc>
          <w:tcPr>
            <w:tcW w:w="1468" w:type="dxa"/>
            <w:tcMar>
              <w:left w:w="108" w:type="dxa"/>
              <w:right w:w="108" w:type="dxa"/>
            </w:tcMar>
          </w:tcPr>
          <w:p w14:paraId="1B6BF08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16F6699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Në kuadër të krijimit të trupit koordinues për monitorimin dhe mbikëqyrjen e zbatimit të procedurës për kontraktimin e OShC-ve për shërbime publike, do të promovohet përfaqësimi i barabartë gjinor ndërmjet anëtarëve ku te ket mundesi dhe ABGJ do te jete pjese e kesaj trupe koordinuese duke siguruar që perspektiva gjinore është e integruar në proceset e monitorimit.</w:t>
            </w:r>
          </w:p>
        </w:tc>
      </w:tr>
      <w:tr w:rsidR="00093E56" w14:paraId="75407005" w14:textId="77777777" w:rsidTr="00843505">
        <w:trPr>
          <w:trHeight w:val="1602"/>
        </w:trPr>
        <w:tc>
          <w:tcPr>
            <w:tcW w:w="618" w:type="dxa"/>
            <w:tcMar>
              <w:left w:w="108" w:type="dxa"/>
              <w:right w:w="108" w:type="dxa"/>
            </w:tcMar>
          </w:tcPr>
          <w:p w14:paraId="635DC65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72</w:t>
            </w:r>
          </w:p>
        </w:tc>
        <w:tc>
          <w:tcPr>
            <w:tcW w:w="1158" w:type="dxa"/>
            <w:tcMar>
              <w:left w:w="108" w:type="dxa"/>
              <w:right w:w="108" w:type="dxa"/>
            </w:tcMar>
          </w:tcPr>
          <w:p w14:paraId="1F8F228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12C082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(rezultati -Janë organizuar 4 evente promovuese për OSHC-të e interesuara, me qëllim informimin dhe angazhimin e tyre mbi rregulloren e re për ofrimin e shërbimeve publike.)</w:t>
            </w:r>
          </w:p>
        </w:tc>
        <w:tc>
          <w:tcPr>
            <w:tcW w:w="1468" w:type="dxa"/>
            <w:tcMar>
              <w:left w:w="108" w:type="dxa"/>
              <w:right w:w="108" w:type="dxa"/>
            </w:tcMar>
          </w:tcPr>
          <w:p w14:paraId="2141B71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71195E3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organizimit të eventeve promovuese për OShC-të e interesuara mbi rregulloren e re për ofrimin e shërbimeve publike, të dhënat e pjesëmarrësve mund të ndahen edhe sipas gjinisë. Ajo qe do te behet ABGJ do te jete pjese e procesit dhe edhe te nxisim dhe bashke do te bejme identifikimin e nevojave specifike të organizatave të udhëhequra nga gratë.</w:t>
            </w:r>
          </w:p>
        </w:tc>
      </w:tr>
      <w:tr w:rsidR="00093E56" w14:paraId="36C3B384" w14:textId="77777777" w:rsidTr="00843505">
        <w:trPr>
          <w:trHeight w:val="1602"/>
        </w:trPr>
        <w:tc>
          <w:tcPr>
            <w:tcW w:w="618" w:type="dxa"/>
            <w:tcMar>
              <w:left w:w="108" w:type="dxa"/>
              <w:right w:w="108" w:type="dxa"/>
            </w:tcMar>
          </w:tcPr>
          <w:p w14:paraId="44165C63"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73</w:t>
            </w:r>
          </w:p>
        </w:tc>
        <w:tc>
          <w:tcPr>
            <w:tcW w:w="1158" w:type="dxa"/>
            <w:tcMar>
              <w:left w:w="108" w:type="dxa"/>
              <w:right w:w="108" w:type="dxa"/>
            </w:tcMar>
          </w:tcPr>
          <w:p w14:paraId="28E3237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CD3B25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se udhëheqësit te organizatës(Treguesi: Numri i OSHC-ve që marrin mbështetje financiare për ofrimin e shërbimeve publike.)</w:t>
            </w:r>
          </w:p>
        </w:tc>
        <w:tc>
          <w:tcPr>
            <w:tcW w:w="1468" w:type="dxa"/>
            <w:tcMar>
              <w:left w:w="108" w:type="dxa"/>
              <w:right w:w="108" w:type="dxa"/>
            </w:tcMar>
          </w:tcPr>
          <w:p w14:paraId="506CA87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7387AB4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numrin e OShC-ve që marrin mbështetje financiare për ofrimin e shërbimeve publike, të dhënat do të ndahen sipas gjinisë së udhëheqësit/es të organizatës përfituese. Kjo qasje mundëson monitorim gjinor të shpërndarjes së mbështetjes financiare dhe identifikimin e organizatave të udhëhequra nga gratë si ofrues të shërbimeve publike.</w:t>
            </w:r>
          </w:p>
        </w:tc>
      </w:tr>
      <w:tr w:rsidR="00093E56" w14:paraId="6059F5DC" w14:textId="77777777" w:rsidTr="00843505">
        <w:trPr>
          <w:trHeight w:val="1602"/>
        </w:trPr>
        <w:tc>
          <w:tcPr>
            <w:tcW w:w="618" w:type="dxa"/>
            <w:tcMar>
              <w:left w:w="108" w:type="dxa"/>
              <w:right w:w="108" w:type="dxa"/>
            </w:tcMar>
          </w:tcPr>
          <w:p w14:paraId="0CCAA340"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74</w:t>
            </w:r>
          </w:p>
        </w:tc>
        <w:tc>
          <w:tcPr>
            <w:tcW w:w="1158" w:type="dxa"/>
            <w:tcMar>
              <w:left w:w="108" w:type="dxa"/>
              <w:right w:w="108" w:type="dxa"/>
            </w:tcMar>
          </w:tcPr>
          <w:p w14:paraId="54E58EF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5AB575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(synimi te (Treguesi- Numri i OSHC-ve që marrin mbështetje financiare për ofrimin e shërbimeve publike) Numri i OSHC-ve të mbështetura 150 OSHC</w:t>
            </w:r>
          </w:p>
        </w:tc>
        <w:tc>
          <w:tcPr>
            <w:tcW w:w="1468" w:type="dxa"/>
            <w:tcMar>
              <w:left w:w="108" w:type="dxa"/>
              <w:right w:w="108" w:type="dxa"/>
            </w:tcMar>
          </w:tcPr>
          <w:p w14:paraId="1942F09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3813882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Synimi prej 150 OShC-ve të mbështetura do të shoqërohet me të dhëna të ndara sipas gjinisë së udhëheqësit/es të organizatës. Kjo qasje mundëson vlerësim gjinor të arritjes së synimit dhe siguron transparencë mbi pjesëmarrjen e organizatave të udhëhequra nga gratë.</w:t>
            </w:r>
          </w:p>
        </w:tc>
      </w:tr>
      <w:tr w:rsidR="00093E56" w14:paraId="267238B2" w14:textId="77777777" w:rsidTr="00843505">
        <w:trPr>
          <w:trHeight w:val="1602"/>
        </w:trPr>
        <w:tc>
          <w:tcPr>
            <w:tcW w:w="618" w:type="dxa"/>
            <w:tcMar>
              <w:left w:w="108" w:type="dxa"/>
              <w:right w:w="108" w:type="dxa"/>
            </w:tcMar>
          </w:tcPr>
          <w:p w14:paraId="7639E8A3"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75</w:t>
            </w:r>
          </w:p>
        </w:tc>
        <w:tc>
          <w:tcPr>
            <w:tcW w:w="1158" w:type="dxa"/>
            <w:tcMar>
              <w:left w:w="108" w:type="dxa"/>
              <w:right w:w="108" w:type="dxa"/>
            </w:tcMar>
          </w:tcPr>
          <w:p w14:paraId="269EAEC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0A2C73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(Treguesi: Vlera totale e granteve të dhëna në një periudhë të caktuar për ofrimin e shërbimeve publike.)</w:t>
            </w:r>
          </w:p>
        </w:tc>
        <w:tc>
          <w:tcPr>
            <w:tcW w:w="1468" w:type="dxa"/>
            <w:tcMar>
              <w:left w:w="108" w:type="dxa"/>
              <w:right w:w="108" w:type="dxa"/>
            </w:tcMar>
          </w:tcPr>
          <w:p w14:paraId="6FC0EC5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5738506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vlerën totale të granteve të dhëna për ofrimin e shërbimeve publike, të dhënat do të ndahen sipas gjinisë së udhëheqësit/es të organizatës përfituese, ku kjo është e mundur. Kjo qasje mundëson vlerësim gjinor të shpërndarjes së fondeve publike dhe analizë të ndikimit te organizatat e udhëhequra nga gratë.</w:t>
            </w:r>
          </w:p>
        </w:tc>
      </w:tr>
      <w:tr w:rsidR="00093E56" w14:paraId="306AAC49" w14:textId="77777777" w:rsidTr="00843505">
        <w:trPr>
          <w:trHeight w:val="1602"/>
        </w:trPr>
        <w:tc>
          <w:tcPr>
            <w:tcW w:w="618" w:type="dxa"/>
            <w:tcMar>
              <w:left w:w="108" w:type="dxa"/>
              <w:right w:w="108" w:type="dxa"/>
            </w:tcMar>
          </w:tcPr>
          <w:p w14:paraId="06F5C90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76</w:t>
            </w:r>
          </w:p>
        </w:tc>
        <w:tc>
          <w:tcPr>
            <w:tcW w:w="1158" w:type="dxa"/>
            <w:tcMar>
              <w:left w:w="108" w:type="dxa"/>
              <w:right w:w="108" w:type="dxa"/>
            </w:tcMar>
          </w:tcPr>
          <w:p w14:paraId="1E2CD1A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3873C68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(Rezultati -Mekanizmat e dhënies së granteve janë funksionalë dhe ndajë fonde për OSHC-të në ofrimin e shërbimeve publike.</w:t>
            </w:r>
          </w:p>
        </w:tc>
        <w:tc>
          <w:tcPr>
            <w:tcW w:w="1468" w:type="dxa"/>
            <w:tcMar>
              <w:left w:w="108" w:type="dxa"/>
              <w:right w:w="108" w:type="dxa"/>
            </w:tcMar>
          </w:tcPr>
          <w:p w14:paraId="4C9471E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75E36A1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funksionimin e mekanizmave të dhënies së granteve për OShC-të në ofrimin e shërbimeve publike, të dhënat do të ndahen sipas gjinisë, duke mundësuar monitorim gjinor dhe transparencë mbi shpërndarjen e granteve.</w:t>
            </w:r>
          </w:p>
        </w:tc>
      </w:tr>
      <w:tr w:rsidR="00093E56" w14:paraId="2A51D7D9" w14:textId="77777777" w:rsidTr="00843505">
        <w:trPr>
          <w:trHeight w:val="1602"/>
        </w:trPr>
        <w:tc>
          <w:tcPr>
            <w:tcW w:w="618" w:type="dxa"/>
            <w:tcMar>
              <w:left w:w="108" w:type="dxa"/>
              <w:right w:w="108" w:type="dxa"/>
            </w:tcMar>
          </w:tcPr>
          <w:p w14:paraId="0760269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77</w:t>
            </w:r>
          </w:p>
        </w:tc>
        <w:tc>
          <w:tcPr>
            <w:tcW w:w="1158" w:type="dxa"/>
            <w:tcMar>
              <w:left w:w="108" w:type="dxa"/>
              <w:right w:w="108" w:type="dxa"/>
            </w:tcMar>
          </w:tcPr>
          <w:p w14:paraId="0EB53FE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A62557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Çdo institucion sipas fushveprimtarisë se vet ka mandat për te mbështetur OSHC-te sipas legjislacionit ne fuqi dhe te përgjegjësive te mandatit.  Kjo bie ne kundërshtim dhe është ndërhyrje ne mandatet e institucioneve përkatëse dhe kompetencave te tyre. Specifikoni cilat kategori do te hynë tek shërbimet publike.( Veprimi -Projektimi dhe krijimi i një fondi të veçantë për mbështetjen financiare të OSHC-ve në ofrimin e shërbimeve publike.</w:t>
            </w:r>
          </w:p>
        </w:tc>
        <w:tc>
          <w:tcPr>
            <w:tcW w:w="1468" w:type="dxa"/>
            <w:tcMar>
              <w:left w:w="108" w:type="dxa"/>
              <w:right w:w="108" w:type="dxa"/>
            </w:tcMar>
          </w:tcPr>
          <w:p w14:paraId="0975A56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01580F5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Çdo institucion, sipas fushëveprimtarisë së vet, ka mandat për të mbështetur OShC-të sipas legjislacionit në fuqi dhe të përgjegjësive të mandatit të tij. Krijimi i fondit të veçantë nuk synon ndërhyrje në mandatet institucionale ekzistuese, por koordinim dhe plotësim të mekanizmave të financimit. Specifikimi i kategorive të shërbimeve publike do të bëhet përmes rregullores që do të hartohet, në përputhje me kuadrin ligjor sektorial.ABGJ do et shtohet si institucion perkrahes dhe do et jete pjese e procesit.</w:t>
            </w:r>
          </w:p>
        </w:tc>
      </w:tr>
      <w:tr w:rsidR="00093E56" w14:paraId="26CBBC4A" w14:textId="77777777" w:rsidTr="00843505">
        <w:trPr>
          <w:trHeight w:val="1602"/>
        </w:trPr>
        <w:tc>
          <w:tcPr>
            <w:tcW w:w="618" w:type="dxa"/>
            <w:tcMar>
              <w:left w:w="108" w:type="dxa"/>
              <w:right w:w="108" w:type="dxa"/>
            </w:tcMar>
          </w:tcPr>
          <w:p w14:paraId="20D265B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78</w:t>
            </w:r>
          </w:p>
        </w:tc>
        <w:tc>
          <w:tcPr>
            <w:tcW w:w="1158" w:type="dxa"/>
            <w:tcMar>
              <w:left w:w="108" w:type="dxa"/>
              <w:right w:w="108" w:type="dxa"/>
            </w:tcMar>
          </w:tcPr>
          <w:p w14:paraId="4295FB0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ECD462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Publike (veprimi Hartimi i kritereve dhe procedurave të qarta për aplikim, vlerësim dhe shpërndarje të granateve për shërbime)</w:t>
            </w:r>
          </w:p>
        </w:tc>
        <w:tc>
          <w:tcPr>
            <w:tcW w:w="1468" w:type="dxa"/>
            <w:tcMar>
              <w:left w:w="108" w:type="dxa"/>
              <w:right w:w="108" w:type="dxa"/>
            </w:tcMar>
          </w:tcPr>
          <w:p w14:paraId="7409244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1DC1970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Hartimi i kritereve dhe procedurave të qarta për aplikim, vlerësim dhe shpërndarje të granteve për shërbime publike do të bëhet në mënyrë transparente dhe gjithëpërfshirëse.  ABGJ do te jete instiucion perkrahes ne hartimin e kritereve. Kriteret do të jenë publike dhe do të sigurojnë qasje të barabartë për të gjitha OShC-të e interesuara, duke nxitur nëpërmjet tyre edhe organizatat e specializuara dhe ato të udhëhequra nga gratë. </w:t>
            </w:r>
          </w:p>
        </w:tc>
      </w:tr>
      <w:tr w:rsidR="00093E56" w14:paraId="648BD083" w14:textId="77777777" w:rsidTr="00843505">
        <w:trPr>
          <w:trHeight w:val="1602"/>
        </w:trPr>
        <w:tc>
          <w:tcPr>
            <w:tcW w:w="618" w:type="dxa"/>
            <w:tcMar>
              <w:left w:w="108" w:type="dxa"/>
              <w:right w:w="108" w:type="dxa"/>
            </w:tcMar>
          </w:tcPr>
          <w:p w14:paraId="7103271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79</w:t>
            </w:r>
          </w:p>
        </w:tc>
        <w:tc>
          <w:tcPr>
            <w:tcW w:w="1158" w:type="dxa"/>
            <w:tcMar>
              <w:left w:w="108" w:type="dxa"/>
              <w:right w:w="108" w:type="dxa"/>
            </w:tcMar>
          </w:tcPr>
          <w:p w14:paraId="20FE9C4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2BD44C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ndare sipas gjinisë –te synohet pjesëmarrje e barabarte e grave dhe vajzave(Treguesi: Numri total i vullnetarëve të angazhuar në programe me ndikim publik)</w:t>
            </w:r>
          </w:p>
        </w:tc>
        <w:tc>
          <w:tcPr>
            <w:tcW w:w="1468" w:type="dxa"/>
            <w:tcMar>
              <w:left w:w="108" w:type="dxa"/>
              <w:right w:w="108" w:type="dxa"/>
            </w:tcMar>
          </w:tcPr>
          <w:p w14:paraId="1205487D"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pjeserisht </w:t>
            </w:r>
          </w:p>
        </w:tc>
        <w:tc>
          <w:tcPr>
            <w:tcW w:w="4957" w:type="dxa"/>
            <w:tcMar>
              <w:left w:w="108" w:type="dxa"/>
              <w:right w:w="108" w:type="dxa"/>
            </w:tcMar>
          </w:tcPr>
          <w:p w14:paraId="6FBA98F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numrin total të vullnetarëve të angazhuar në programe me ndikim publik, të dhënat do të ndahen sipas gjinisë, duke synuar pjesëmarrje të barabartë të grave dhe vajzave. Kjo qasje mundëson monitorim gjinor të angazhimit vullnetar dhe identifikimin e nevojave për nxitje të vullnetarizmit tek femrat.</w:t>
            </w:r>
          </w:p>
        </w:tc>
      </w:tr>
      <w:tr w:rsidR="00093E56" w14:paraId="2BD20AC3" w14:textId="77777777" w:rsidTr="00843505">
        <w:trPr>
          <w:trHeight w:val="1602"/>
        </w:trPr>
        <w:tc>
          <w:tcPr>
            <w:tcW w:w="618" w:type="dxa"/>
            <w:tcMar>
              <w:left w:w="108" w:type="dxa"/>
              <w:right w:w="108" w:type="dxa"/>
            </w:tcMar>
          </w:tcPr>
          <w:p w14:paraId="62CB3131"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80</w:t>
            </w:r>
          </w:p>
        </w:tc>
        <w:tc>
          <w:tcPr>
            <w:tcW w:w="1158" w:type="dxa"/>
            <w:tcMar>
              <w:left w:w="108" w:type="dxa"/>
              <w:right w:w="108" w:type="dxa"/>
            </w:tcMar>
          </w:tcPr>
          <w:p w14:paraId="282B0B7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663352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ndare sipas gjinisë(Vlera baze - Numri i vullnetarëve është rritur)</w:t>
            </w:r>
          </w:p>
        </w:tc>
        <w:tc>
          <w:tcPr>
            <w:tcW w:w="1468" w:type="dxa"/>
            <w:tcMar>
              <w:left w:w="108" w:type="dxa"/>
              <w:right w:w="108" w:type="dxa"/>
            </w:tcMar>
          </w:tcPr>
          <w:p w14:paraId="76FA4AF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7B19E77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Vlera bazë e numrit të vullnetarëve do të ndahet sipas gjinisë, duke mundësuar matje të saktë të rritjes vjetore dhe vlerësim gjinor të tendencave të vullnetarizmit gjatë periudhës së zbatimit të Planit të Veprimit.</w:t>
            </w:r>
          </w:p>
        </w:tc>
      </w:tr>
      <w:tr w:rsidR="00093E56" w14:paraId="0622DF38" w14:textId="77777777" w:rsidTr="00843505">
        <w:trPr>
          <w:trHeight w:val="1602"/>
        </w:trPr>
        <w:tc>
          <w:tcPr>
            <w:tcW w:w="618" w:type="dxa"/>
            <w:tcMar>
              <w:left w:w="108" w:type="dxa"/>
              <w:right w:w="108" w:type="dxa"/>
            </w:tcMar>
          </w:tcPr>
          <w:p w14:paraId="33F3B3C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81</w:t>
            </w:r>
          </w:p>
        </w:tc>
        <w:tc>
          <w:tcPr>
            <w:tcW w:w="1158" w:type="dxa"/>
            <w:tcMar>
              <w:left w:w="108" w:type="dxa"/>
              <w:right w:w="108" w:type="dxa"/>
            </w:tcMar>
          </w:tcPr>
          <w:p w14:paraId="2744CA70"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516E8C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përfaqësim te barabartë (Treguesi: Numri i programeve ose iniciativave me ndikim publik që përfshijnë vullnetarë ( vlera baze- me pjesëmarrje te barabartë)</w:t>
            </w:r>
          </w:p>
        </w:tc>
        <w:tc>
          <w:tcPr>
            <w:tcW w:w="1468" w:type="dxa"/>
            <w:tcMar>
              <w:left w:w="108" w:type="dxa"/>
              <w:right w:w="108" w:type="dxa"/>
            </w:tcMar>
          </w:tcPr>
          <w:p w14:paraId="2AEDF09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0532BA5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raportimit mbi numrin e programeve ose iniciativave me ndikim publik që përfshijnë vullnetarë, patjeter që do të pasqyrojë përfaqësimin e barabartë gjinor. Kjo qasje mundëson vlerësim të nivelit të barazisë gjinore në angazhimin vullnetar dhe identifikimin e nevojave për ndërhyrje.</w:t>
            </w:r>
          </w:p>
        </w:tc>
      </w:tr>
      <w:tr w:rsidR="00093E56" w14:paraId="2EFA1667" w14:textId="77777777" w:rsidTr="00843505">
        <w:trPr>
          <w:trHeight w:val="1602"/>
        </w:trPr>
        <w:tc>
          <w:tcPr>
            <w:tcW w:w="618" w:type="dxa"/>
            <w:tcMar>
              <w:left w:w="108" w:type="dxa"/>
              <w:right w:w="108" w:type="dxa"/>
            </w:tcMar>
          </w:tcPr>
          <w:p w14:paraId="02DA0B63"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82</w:t>
            </w:r>
          </w:p>
        </w:tc>
        <w:tc>
          <w:tcPr>
            <w:tcW w:w="1158" w:type="dxa"/>
            <w:tcMar>
              <w:left w:w="108" w:type="dxa"/>
              <w:right w:w="108" w:type="dxa"/>
            </w:tcMar>
          </w:tcPr>
          <w:p w14:paraId="01F3969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8E5704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pjesëmarrje te barabartë (Produkti Gjatë periudhës së raportimit u realizuan 8 iniciativa publike që përfshinë vullnetarë.</w:t>
            </w:r>
          </w:p>
        </w:tc>
        <w:tc>
          <w:tcPr>
            <w:tcW w:w="1468" w:type="dxa"/>
            <w:tcMar>
              <w:left w:w="108" w:type="dxa"/>
              <w:right w:w="108" w:type="dxa"/>
            </w:tcMar>
          </w:tcPr>
          <w:p w14:paraId="15115EE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5673AE7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Gjatë realizimit të 8 iniciativave publike që përfshijnë vullnetarë, do të promovohet pjesëmarrja e barabartë gjinore dhe do të mblidhen të dhëna të ndara sipas gjinisë mbi vullnetarët e angazhuar. </w:t>
            </w:r>
          </w:p>
        </w:tc>
      </w:tr>
      <w:tr w:rsidR="00093E56" w14:paraId="09E8BC7F" w14:textId="77777777" w:rsidTr="00843505">
        <w:trPr>
          <w:trHeight w:val="1602"/>
        </w:trPr>
        <w:tc>
          <w:tcPr>
            <w:tcW w:w="618" w:type="dxa"/>
            <w:tcMar>
              <w:left w:w="108" w:type="dxa"/>
              <w:right w:w="108" w:type="dxa"/>
            </w:tcMar>
          </w:tcPr>
          <w:p w14:paraId="4B3A4635"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83</w:t>
            </w:r>
          </w:p>
        </w:tc>
        <w:tc>
          <w:tcPr>
            <w:tcW w:w="1158" w:type="dxa"/>
            <w:tcMar>
              <w:left w:w="108" w:type="dxa"/>
              <w:right w:w="108" w:type="dxa"/>
            </w:tcMar>
          </w:tcPr>
          <w:p w14:paraId="15A44276"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9966F3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fokus gratë dhe vajzat (Objektivi i përkohshëm - Korniza për Vullnetarizmin e zhvilluar duke siguruar një qasje integrale për rregullimin e vullnetarizmit dhe duke përcaktuar përgjegjësi të qarta institucionale në këtë fushë.</w:t>
            </w:r>
          </w:p>
        </w:tc>
        <w:tc>
          <w:tcPr>
            <w:tcW w:w="1468" w:type="dxa"/>
            <w:tcMar>
              <w:left w:w="108" w:type="dxa"/>
              <w:right w:w="108" w:type="dxa"/>
            </w:tcMar>
          </w:tcPr>
          <w:p w14:paraId="7B35CD0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5A08426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Korniza për Vullnetarizmin do të zhvillohet duke siguruar një qasje integrale gjithëpërfshirëse në nxitjen e vullnetarizmit . Kjo qasje merr parasysh te gjitha barrierat në angazhimin vullnetar dhe synon krijimin e kushteve të favorshme për pjesëmarrje të barabartë për të gjithë. Fokusi për gratë edhe vajzat patjetër që është objektive institucionale. </w:t>
            </w:r>
          </w:p>
        </w:tc>
      </w:tr>
      <w:tr w:rsidR="00093E56" w14:paraId="4C97B39A" w14:textId="77777777" w:rsidTr="00843505">
        <w:trPr>
          <w:trHeight w:val="1602"/>
        </w:trPr>
        <w:tc>
          <w:tcPr>
            <w:tcW w:w="618" w:type="dxa"/>
            <w:tcMar>
              <w:left w:w="108" w:type="dxa"/>
              <w:right w:w="108" w:type="dxa"/>
            </w:tcMar>
          </w:tcPr>
          <w:p w14:paraId="4093FB6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84</w:t>
            </w:r>
          </w:p>
        </w:tc>
        <w:tc>
          <w:tcPr>
            <w:tcW w:w="1158" w:type="dxa"/>
            <w:tcMar>
              <w:left w:w="108" w:type="dxa"/>
              <w:right w:w="108" w:type="dxa"/>
            </w:tcMar>
          </w:tcPr>
          <w:p w14:paraId="082058C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5BFB03F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(Produkt - Organizimi i të paktën 5 eventeve promovuese për ndërgjegjësimin dhe angazhimin e shtuar, në bashkëpunim me OSHC-të dhe institucionet shtetërore në nivel kombëtar dhe lokal.</w:t>
            </w:r>
          </w:p>
        </w:tc>
        <w:tc>
          <w:tcPr>
            <w:tcW w:w="1468" w:type="dxa"/>
            <w:tcMar>
              <w:left w:w="108" w:type="dxa"/>
              <w:right w:w="108" w:type="dxa"/>
            </w:tcMar>
          </w:tcPr>
          <w:p w14:paraId="47D3F89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 pjesërisht</w:t>
            </w:r>
          </w:p>
        </w:tc>
        <w:tc>
          <w:tcPr>
            <w:tcW w:w="4957" w:type="dxa"/>
            <w:tcMar>
              <w:left w:w="108" w:type="dxa"/>
              <w:right w:w="108" w:type="dxa"/>
            </w:tcMar>
          </w:tcPr>
          <w:p w14:paraId="29F58FB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organizimit të të paktën 5 eventeve promovuese për ndërgjegjësimin dhe angazhimin e shtuar vullnetar, në bashkëpunim me OShC-të dhe institucionet shtetërore, të dhënat e pjesëmarrësve do të ndahen sipas gjinisë ku është e mundur. Kjo mundëson monitorim e arritjes së synimeve dhe vlerësim e ndikimit.</w:t>
            </w:r>
          </w:p>
        </w:tc>
      </w:tr>
      <w:tr w:rsidR="00093E56" w14:paraId="3A9FF76C" w14:textId="77777777" w:rsidTr="00843505">
        <w:trPr>
          <w:trHeight w:val="1602"/>
        </w:trPr>
        <w:tc>
          <w:tcPr>
            <w:tcW w:w="618" w:type="dxa"/>
            <w:tcMar>
              <w:left w:w="108" w:type="dxa"/>
              <w:right w:w="108" w:type="dxa"/>
            </w:tcMar>
          </w:tcPr>
          <w:p w14:paraId="72D1FD6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85</w:t>
            </w:r>
          </w:p>
        </w:tc>
        <w:tc>
          <w:tcPr>
            <w:tcW w:w="1158" w:type="dxa"/>
            <w:tcMar>
              <w:left w:w="108" w:type="dxa"/>
              <w:right w:w="108" w:type="dxa"/>
            </w:tcMar>
          </w:tcPr>
          <w:p w14:paraId="7CF325D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16FEB53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përfaqësim te barabarte gjinore (Rezultati -Mekanizmi kombëtar për koordinimin e aktiviteteve vullnetare funksionon në mënyrë efektive dhe forcon bashkëpunimin ndërinstitucional, ndërsa kapacitetet e institucioneve dhe organizatave të shoqërisë civile për mbështetjen dhe promovimin e vullnetarizmit janë të rritura.</w:t>
            </w:r>
          </w:p>
        </w:tc>
        <w:tc>
          <w:tcPr>
            <w:tcW w:w="1468" w:type="dxa"/>
            <w:tcMar>
              <w:left w:w="108" w:type="dxa"/>
              <w:right w:w="108" w:type="dxa"/>
            </w:tcMar>
          </w:tcPr>
          <w:p w14:paraId="4479F2C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15640EF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Mekanizmi kombëtar për koordinimin e aktiviteteve vullnetare do të funksionojë duke siguruar përfaqësim sa më profesional ndërmjet anëtarëve dhe strukturave të tij. Gjithmonë duke siguruar bashkëpunimin ndërinstitucional dhe  integrimin e perspektivës gjinore në koordinimin dhe promovimin e vullnetarizmit.</w:t>
            </w:r>
          </w:p>
        </w:tc>
      </w:tr>
      <w:tr w:rsidR="00093E56" w14:paraId="4B376908" w14:textId="77777777" w:rsidTr="00843505">
        <w:trPr>
          <w:trHeight w:val="1602"/>
        </w:trPr>
        <w:tc>
          <w:tcPr>
            <w:tcW w:w="618" w:type="dxa"/>
            <w:tcMar>
              <w:left w:w="108" w:type="dxa"/>
              <w:right w:w="108" w:type="dxa"/>
            </w:tcMar>
          </w:tcPr>
          <w:p w14:paraId="25E3B93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lastRenderedPageBreak/>
              <w:t>86</w:t>
            </w:r>
          </w:p>
        </w:tc>
        <w:tc>
          <w:tcPr>
            <w:tcW w:w="1158" w:type="dxa"/>
            <w:tcMar>
              <w:left w:w="108" w:type="dxa"/>
              <w:right w:w="108" w:type="dxa"/>
            </w:tcMar>
          </w:tcPr>
          <w:p w14:paraId="2C45115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70B68CA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me pjesëmarrje te barabarte gjinore                                     (Treguesi: Mekanizëm institucional kombëtar për vullnetarizmin i krijuar dhe funksional, me plan pune dhe raport vjetor të realizuar.)</w:t>
            </w:r>
          </w:p>
        </w:tc>
        <w:tc>
          <w:tcPr>
            <w:tcW w:w="1468" w:type="dxa"/>
            <w:tcMar>
              <w:left w:w="108" w:type="dxa"/>
              <w:right w:w="108" w:type="dxa"/>
            </w:tcMar>
          </w:tcPr>
          <w:p w14:paraId="263E7A9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45F10AC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Mekanizmi Kombëtar për Vullnetarizmin do të pasqyrojë pjesëmarrjen e institucioneve dhe OJQ-ve të përzgjedhura dhe profesionale, duke ofruar në mënyrë të vazhdueshme mundësi për vlerësimin e integrimit të perspektivës gjinore në funksionimin e mekanizmit, planin e punës dhe raportin vjetor</w:t>
            </w:r>
          </w:p>
        </w:tc>
      </w:tr>
      <w:tr w:rsidR="00093E56" w14:paraId="3D78C104" w14:textId="77777777" w:rsidTr="00843505">
        <w:trPr>
          <w:trHeight w:val="1602"/>
        </w:trPr>
        <w:tc>
          <w:tcPr>
            <w:tcW w:w="618" w:type="dxa"/>
            <w:tcMar>
              <w:left w:w="108" w:type="dxa"/>
              <w:right w:w="108" w:type="dxa"/>
            </w:tcMar>
          </w:tcPr>
          <w:p w14:paraId="27C53199"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87</w:t>
            </w:r>
          </w:p>
        </w:tc>
        <w:tc>
          <w:tcPr>
            <w:tcW w:w="1158" w:type="dxa"/>
            <w:tcMar>
              <w:left w:w="108" w:type="dxa"/>
              <w:right w:w="108" w:type="dxa"/>
            </w:tcMar>
          </w:tcPr>
          <w:p w14:paraId="530C7E51"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2156CB0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e ndara sipas gjinisë (Treguesi: Numri i institucioneve publike, organizatave të shoqërisë civile dhe individëve që janë regjistruar, marrin pjesë rregullisht dhe kontribuojnë me aktivitete brenda mekanizmit kombëtar të koordinimit të vullnetarizmit (sipas listave të anëtarëve, pjesëmarrjes në mbledhje dhe raporteve vjetore).</w:t>
            </w:r>
          </w:p>
        </w:tc>
        <w:tc>
          <w:tcPr>
            <w:tcW w:w="1468" w:type="dxa"/>
            <w:tcMar>
              <w:left w:w="108" w:type="dxa"/>
              <w:right w:w="108" w:type="dxa"/>
            </w:tcMar>
          </w:tcPr>
          <w:p w14:paraId="19B8CBE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Nuk pranohet</w:t>
            </w:r>
          </w:p>
        </w:tc>
        <w:tc>
          <w:tcPr>
            <w:tcW w:w="4957" w:type="dxa"/>
            <w:tcMar>
              <w:left w:w="108" w:type="dxa"/>
              <w:right w:w="108" w:type="dxa"/>
            </w:tcMar>
          </w:tcPr>
          <w:p w14:paraId="617415E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nuk është pranuar, pasi Mekanizmi Kombëtar për Vullnetarizmin parashikon përfshirjen e institucioneve dhe OJQ-ve të përzgjedhura dhe profesionale, si dhe ofron mundësi për vlerësimin e integrimit të perspektivës gjinore në funksionimin e mekanizmit, planin e punës dhe raportin vjetor. Për këtë arsye, aspekti i integrimit të perspektivës gjinore do të trajtohet përmes proceseve të monitorimit dhe raportimit të mekanizmit, pa qenë e nevojshme të përcaktohet si kërkesë e veçantë në treguesin e propozuar.</w:t>
            </w:r>
          </w:p>
        </w:tc>
      </w:tr>
      <w:tr w:rsidR="00093E56" w14:paraId="05A31E53" w14:textId="77777777" w:rsidTr="00843505">
        <w:trPr>
          <w:trHeight w:val="1602"/>
        </w:trPr>
        <w:tc>
          <w:tcPr>
            <w:tcW w:w="618" w:type="dxa"/>
            <w:tcMar>
              <w:left w:w="108" w:type="dxa"/>
              <w:right w:w="108" w:type="dxa"/>
            </w:tcMar>
          </w:tcPr>
          <w:p w14:paraId="5C91939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88</w:t>
            </w:r>
          </w:p>
        </w:tc>
        <w:tc>
          <w:tcPr>
            <w:tcW w:w="1158" w:type="dxa"/>
            <w:tcMar>
              <w:left w:w="108" w:type="dxa"/>
              <w:right w:w="108" w:type="dxa"/>
            </w:tcMar>
          </w:tcPr>
          <w:p w14:paraId="57D7D93A"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EB569F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se udhëheqësit te organizatës dhe pjesëmarrje te barabarte te grave                                                                          (Synim i 2028 : 5 institucione shtetërore të përfshira në mekanizëm  40 organizata joqeveritare të përfshira në mekanizëm. 150 individë të angazhuar në aktivitete vullnetare përmes mekanizmit.</w:t>
            </w:r>
          </w:p>
        </w:tc>
        <w:tc>
          <w:tcPr>
            <w:tcW w:w="1468" w:type="dxa"/>
            <w:tcMar>
              <w:left w:w="108" w:type="dxa"/>
              <w:right w:w="108" w:type="dxa"/>
            </w:tcMar>
          </w:tcPr>
          <w:p w14:paraId="60AE6DF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1EBE4D2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pranohet pjesërisht. Të dhënat për pjesëmarrjen dhe përfshirjen në Mekanizmin Kombëtar për Vullnetarizmin do të merren parasysh edhe me perspektivë gjinore, përfshirë monitorimin e përfaqësimit të grave dhe burrave në kuadër të institucioneve, organizatave dhe individëve të angazhuar. Megjithatë, treguesi do të mbetet i fokusuar në numrin e institucioneve, organizatave dhe individëve të përfshirë në mekanizëm, ndërsa aspektet gjinore do të pasqyrohen përmes analizës dhe raportimit vjetor të zbatimit të mekanizmit.</w:t>
            </w:r>
          </w:p>
        </w:tc>
      </w:tr>
      <w:tr w:rsidR="00093E56" w14:paraId="2FB6F30B" w14:textId="77777777" w:rsidTr="00843505">
        <w:trPr>
          <w:trHeight w:val="1602"/>
        </w:trPr>
        <w:tc>
          <w:tcPr>
            <w:tcW w:w="618" w:type="dxa"/>
            <w:tcMar>
              <w:left w:w="108" w:type="dxa"/>
              <w:right w:w="108" w:type="dxa"/>
            </w:tcMar>
          </w:tcPr>
          <w:p w14:paraId="5DCF165D"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89</w:t>
            </w:r>
          </w:p>
        </w:tc>
        <w:tc>
          <w:tcPr>
            <w:tcW w:w="1158" w:type="dxa"/>
            <w:tcMar>
              <w:left w:w="108" w:type="dxa"/>
              <w:right w:w="108" w:type="dxa"/>
            </w:tcMar>
          </w:tcPr>
          <w:p w14:paraId="6C99E12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6604AB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ndare sipas gjinisë( Treguesi: Numri i institucioneve publike, organizatave të shoqërisë civile dhe individëve që janë regjistruar, marrin pjesë rregullisht dhe kontribuojnë me aktivitete brenda mekanizmit kombëtar të koordinimit të vullnetarizmit (sipas listave të anëtarëve, pjesëmarrjes në mbledhje dhe raporteve vjetore).</w:t>
            </w:r>
          </w:p>
        </w:tc>
        <w:tc>
          <w:tcPr>
            <w:tcW w:w="1468" w:type="dxa"/>
            <w:tcMar>
              <w:left w:w="108" w:type="dxa"/>
              <w:right w:w="108" w:type="dxa"/>
            </w:tcMar>
          </w:tcPr>
          <w:p w14:paraId="171E764B"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pjesërisht </w:t>
            </w:r>
          </w:p>
        </w:tc>
        <w:tc>
          <w:tcPr>
            <w:tcW w:w="4957" w:type="dxa"/>
            <w:tcMar>
              <w:left w:w="108" w:type="dxa"/>
              <w:right w:w="108" w:type="dxa"/>
            </w:tcMar>
          </w:tcPr>
          <w:p w14:paraId="06ACD6BE"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Mekanizmi Kombëtar për Koordinimin e Vullnetarizmit do të sigurojë transparencë dhe gjithë përfshirje përmes përzgjedhjes së anëtarëve me thirrje të hapur. Treguesi i referohet kryesisht numrit të institucioneve publike, organizatave të shoqërisë civile dhe individëve të regjistruar, pjesëmarrjes së tyre të rregullt dhe kontributit në funksionimin e mekanizmit. Aspektet e perspektivës gjinore do të mund të pasqyrohen përmes proceseve të monitorimit dhe raportimit, përfshirë raportet vjetore të mekanizmit.</w:t>
            </w:r>
          </w:p>
        </w:tc>
      </w:tr>
      <w:tr w:rsidR="00093E56" w14:paraId="16F8603A" w14:textId="77777777" w:rsidTr="00843505">
        <w:trPr>
          <w:trHeight w:val="1602"/>
        </w:trPr>
        <w:tc>
          <w:tcPr>
            <w:tcW w:w="618" w:type="dxa"/>
            <w:tcMar>
              <w:left w:w="108" w:type="dxa"/>
              <w:right w:w="108" w:type="dxa"/>
            </w:tcMar>
          </w:tcPr>
          <w:p w14:paraId="1896B36E"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90</w:t>
            </w:r>
          </w:p>
        </w:tc>
        <w:tc>
          <w:tcPr>
            <w:tcW w:w="1158" w:type="dxa"/>
            <w:tcMar>
              <w:left w:w="108" w:type="dxa"/>
              <w:right w:w="108" w:type="dxa"/>
            </w:tcMar>
          </w:tcPr>
          <w:p w14:paraId="686E52E8"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6B6F873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Komenti- me te sigurohet pjesëmarrje e barabarte gjinore ( Veprimi -Përgatitja dhe miratimi i Rregullores për krijimin e Mekanizmit Kombëtar të </w:t>
            </w:r>
            <w:r>
              <w:rPr>
                <w:rFonts w:ascii="Candara" w:eastAsia="Times New Roman" w:hAnsi="Candara" w:cs="Calibri"/>
                <w:sz w:val="18"/>
                <w:szCs w:val="18"/>
                <w:lang w:val="sq-AL"/>
              </w:rPr>
              <w:lastRenderedPageBreak/>
              <w:t>Koordinimit të Vullnetarëve (MKV).</w:t>
            </w:r>
          </w:p>
        </w:tc>
        <w:tc>
          <w:tcPr>
            <w:tcW w:w="1468" w:type="dxa"/>
            <w:tcMar>
              <w:left w:w="108" w:type="dxa"/>
              <w:right w:w="108" w:type="dxa"/>
            </w:tcMar>
          </w:tcPr>
          <w:p w14:paraId="30A3294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lastRenderedPageBreak/>
              <w:t>Pranohet</w:t>
            </w:r>
          </w:p>
        </w:tc>
        <w:tc>
          <w:tcPr>
            <w:tcW w:w="4957" w:type="dxa"/>
            <w:tcMar>
              <w:left w:w="108" w:type="dxa"/>
              <w:right w:w="108" w:type="dxa"/>
            </w:tcMar>
          </w:tcPr>
          <w:p w14:paraId="7E72D8E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përgatitjes dhe miratimit të Rregullores për krijimin e Mekanizmit Kombëtar të Koordinimit të Vullnetarëve (MKV), do të integrohen dispozita që sigurojnë pjesëmarrje të barabartë gjinore në strukturat dhe aktivitetet e mekanizmit, në përputhje me parimet e barazisë gjinore të Planit të Veprimit.</w:t>
            </w:r>
          </w:p>
        </w:tc>
      </w:tr>
      <w:tr w:rsidR="00093E56" w14:paraId="2D4BBA08" w14:textId="77777777" w:rsidTr="00843505">
        <w:trPr>
          <w:trHeight w:val="1602"/>
        </w:trPr>
        <w:tc>
          <w:tcPr>
            <w:tcW w:w="618" w:type="dxa"/>
            <w:tcMar>
              <w:left w:w="108" w:type="dxa"/>
              <w:right w:w="108" w:type="dxa"/>
            </w:tcMar>
          </w:tcPr>
          <w:p w14:paraId="51905508"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91</w:t>
            </w:r>
          </w:p>
        </w:tc>
        <w:tc>
          <w:tcPr>
            <w:tcW w:w="1158" w:type="dxa"/>
            <w:tcMar>
              <w:left w:w="108" w:type="dxa"/>
              <w:right w:w="108" w:type="dxa"/>
            </w:tcMar>
          </w:tcPr>
          <w:p w14:paraId="291AE41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7ACBABF"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ndare sipas gjinisë (Treguesi: Përqindja e qytetarëve të vetëdijshëm për mundësitë dhe përfitimet e vullnetarizmit.)</w:t>
            </w:r>
          </w:p>
        </w:tc>
        <w:tc>
          <w:tcPr>
            <w:tcW w:w="1468" w:type="dxa"/>
            <w:tcMar>
              <w:left w:w="108" w:type="dxa"/>
              <w:right w:w="108" w:type="dxa"/>
            </w:tcMar>
          </w:tcPr>
          <w:p w14:paraId="0884DEF2"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 xml:space="preserve">Pranohet </w:t>
            </w:r>
          </w:p>
        </w:tc>
        <w:tc>
          <w:tcPr>
            <w:tcW w:w="4957" w:type="dxa"/>
            <w:tcMar>
              <w:left w:w="108" w:type="dxa"/>
              <w:right w:w="108" w:type="dxa"/>
            </w:tcMar>
          </w:tcPr>
          <w:p w14:paraId="6C69AE2C"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matjes së përqindjes së qytetarëve të vetëdijshëm për mundësitë dhe përfitimet e vullnetarizmit, të dhënat do të ndahen sipas gjinisë, moshës dhe kategorive të tjera relevante. Kjo qasje do të mundësojë identifikimin e dallimeve në nivelin e ndërgjegjësimit për vullnetarizmin dhe hartimin e masave të synuara për rritjen e informimit dhe përfshirjes së qytetarëve në aktivitetet vullnetare.</w:t>
            </w:r>
          </w:p>
        </w:tc>
      </w:tr>
      <w:tr w:rsidR="00093E56" w14:paraId="4AAFC732" w14:textId="77777777" w:rsidTr="00843505">
        <w:trPr>
          <w:trHeight w:val="1602"/>
        </w:trPr>
        <w:tc>
          <w:tcPr>
            <w:tcW w:w="618" w:type="dxa"/>
            <w:tcMar>
              <w:left w:w="108" w:type="dxa"/>
              <w:right w:w="108" w:type="dxa"/>
            </w:tcMar>
          </w:tcPr>
          <w:p w14:paraId="4D2C9C0C"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92</w:t>
            </w:r>
          </w:p>
        </w:tc>
        <w:tc>
          <w:tcPr>
            <w:tcW w:w="1158" w:type="dxa"/>
            <w:tcMar>
              <w:left w:w="108" w:type="dxa"/>
              <w:right w:w="108" w:type="dxa"/>
            </w:tcMar>
          </w:tcPr>
          <w:p w14:paraId="436B5BB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8AA4FC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ndara sipas gjinisë (Rezultati- Numri i qytetarëve të përfshirë në aktivitetet vullnetare të OSHC-ve dhe në aktivitete të tjera vullnetare është në rritje.</w:t>
            </w:r>
          </w:p>
        </w:tc>
        <w:tc>
          <w:tcPr>
            <w:tcW w:w="1468" w:type="dxa"/>
            <w:tcMar>
              <w:left w:w="108" w:type="dxa"/>
              <w:right w:w="108" w:type="dxa"/>
            </w:tcMar>
          </w:tcPr>
          <w:p w14:paraId="08C3460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46627859"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Numri i qytetarëve të përfshirë në aktivitetet vullnetare do të raportohet me të dhëna të ndara sipas gjinisë, moshës, duke mundësuar edhe monitorim gjinor të rritjes së angazhimit vullnetar dhe vlerësim të ndikimit të aktiviteteve të OShC-ve.</w:t>
            </w:r>
          </w:p>
        </w:tc>
      </w:tr>
      <w:tr w:rsidR="00093E56" w14:paraId="186F9E00" w14:textId="77777777" w:rsidTr="00843505">
        <w:trPr>
          <w:trHeight w:val="1602"/>
        </w:trPr>
        <w:tc>
          <w:tcPr>
            <w:tcW w:w="618" w:type="dxa"/>
            <w:tcMar>
              <w:left w:w="108" w:type="dxa"/>
              <w:right w:w="108" w:type="dxa"/>
            </w:tcMar>
          </w:tcPr>
          <w:p w14:paraId="5479B356" w14:textId="77777777" w:rsidR="00093E56" w:rsidRDefault="00843505">
            <w:pPr>
              <w:jc w:val="both"/>
              <w:rPr>
                <w:rFonts w:ascii="Candara" w:eastAsia="Times New Roman" w:hAnsi="Candara" w:cs="Calibri"/>
                <w:color w:val="000000"/>
                <w:sz w:val="20"/>
                <w:szCs w:val="20"/>
                <w:lang w:val="sq-AL"/>
              </w:rPr>
            </w:pPr>
            <w:r>
              <w:rPr>
                <w:rFonts w:ascii="Candara" w:eastAsia="Times New Roman" w:hAnsi="Candara" w:cs="Calibri"/>
                <w:color w:val="000000"/>
                <w:sz w:val="20"/>
                <w:szCs w:val="20"/>
                <w:lang w:val="sq-AL"/>
              </w:rPr>
              <w:t>93</w:t>
            </w:r>
          </w:p>
        </w:tc>
        <w:tc>
          <w:tcPr>
            <w:tcW w:w="1158" w:type="dxa"/>
            <w:tcMar>
              <w:left w:w="108" w:type="dxa"/>
              <w:right w:w="108" w:type="dxa"/>
            </w:tcMar>
          </w:tcPr>
          <w:p w14:paraId="5BE1D2D7"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ABGJ</w:t>
            </w:r>
          </w:p>
        </w:tc>
        <w:tc>
          <w:tcPr>
            <w:tcW w:w="2239" w:type="dxa"/>
            <w:tcMar>
              <w:left w:w="108" w:type="dxa"/>
              <w:right w:w="108" w:type="dxa"/>
            </w:tcMar>
          </w:tcPr>
          <w:p w14:paraId="016271D4"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Komenti-  te dhënat sipas gjinisë( Veprimi - Zhvillimi, publikimi dhe promovimi i udhëzuesit të detajuar mbi mundësitë e angazhimit vullnetar, duke përfshirë shpërndarjen e tij tek institucionet, organizatat, individët dhe publiku i gjerë, si dhe organizimin e sesioneve informuese për përdorimin e udhëzuesit</w:t>
            </w:r>
          </w:p>
        </w:tc>
        <w:tc>
          <w:tcPr>
            <w:tcW w:w="1468" w:type="dxa"/>
            <w:tcMar>
              <w:left w:w="108" w:type="dxa"/>
              <w:right w:w="108" w:type="dxa"/>
            </w:tcMar>
          </w:tcPr>
          <w:p w14:paraId="38B57ED3"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Pranohet</w:t>
            </w:r>
          </w:p>
        </w:tc>
        <w:tc>
          <w:tcPr>
            <w:tcW w:w="4957" w:type="dxa"/>
            <w:tcMar>
              <w:left w:w="108" w:type="dxa"/>
              <w:right w:w="108" w:type="dxa"/>
            </w:tcMar>
          </w:tcPr>
          <w:p w14:paraId="25CF2FF5" w14:textId="77777777" w:rsidR="00093E56" w:rsidRDefault="00843505">
            <w:pPr>
              <w:jc w:val="both"/>
              <w:rPr>
                <w:rFonts w:ascii="Candara" w:eastAsia="Times New Roman" w:hAnsi="Candara" w:cs="Calibri"/>
                <w:sz w:val="18"/>
                <w:szCs w:val="18"/>
                <w:lang w:val="sq-AL"/>
              </w:rPr>
            </w:pPr>
            <w:r>
              <w:rPr>
                <w:rFonts w:ascii="Candara" w:eastAsia="Times New Roman" w:hAnsi="Candara" w:cs="Calibri"/>
                <w:sz w:val="18"/>
                <w:szCs w:val="18"/>
                <w:lang w:val="sq-AL"/>
              </w:rPr>
              <w:t>Gjatë zhvillimit, publikimit dhe promovimit të udhëzuesit të detajuar mbi mundësitë e angazhimit vullnetar, do të merren parasysh nevojat gjinore dhe do të sigurohet që udhëzuesi adresohet tek të gjitha grupet e interesit, duke përfshirë gratë dhe vajzat. Sesionet informuese do të organizohen duke nxitur pjesëmarrje gjithëpërfshirëse dhe të barabartë.</w:t>
            </w:r>
          </w:p>
        </w:tc>
      </w:tr>
    </w:tbl>
    <w:p w14:paraId="0D0D313B" w14:textId="77777777" w:rsidR="00093E56" w:rsidRDefault="00093E56">
      <w:pPr>
        <w:spacing w:line="276" w:lineRule="auto"/>
        <w:jc w:val="both"/>
        <w:rPr>
          <w:rFonts w:ascii="Candara" w:hAnsi="Candara"/>
          <w:sz w:val="20"/>
          <w:szCs w:val="20"/>
          <w:lang w:val="sq-AL"/>
        </w:rPr>
      </w:pPr>
    </w:p>
    <w:p w14:paraId="4E2665FF" w14:textId="77777777" w:rsidR="00093E56" w:rsidRDefault="00843505">
      <w:pPr>
        <w:tabs>
          <w:tab w:val="center" w:pos="6480"/>
        </w:tabs>
        <w:spacing w:line="276" w:lineRule="auto"/>
        <w:jc w:val="both"/>
        <w:rPr>
          <w:rFonts w:ascii="Candara" w:hAnsi="Candara"/>
          <w:b/>
          <w:sz w:val="20"/>
          <w:szCs w:val="20"/>
          <w:lang w:val="sq-AL"/>
        </w:rPr>
      </w:pPr>
      <w:r>
        <w:rPr>
          <w:rFonts w:ascii="Candara" w:hAnsi="Candara"/>
          <w:sz w:val="20"/>
          <w:szCs w:val="20"/>
          <w:lang w:val="sq-AL"/>
        </w:rPr>
        <w:tab/>
      </w:r>
    </w:p>
    <w:p w14:paraId="3223BF01" w14:textId="77777777" w:rsidR="00093E56" w:rsidRDefault="00093E56">
      <w:pPr>
        <w:spacing w:line="276" w:lineRule="auto"/>
        <w:jc w:val="both"/>
        <w:rPr>
          <w:rFonts w:ascii="Candara" w:hAnsi="Candara"/>
          <w:sz w:val="20"/>
          <w:szCs w:val="20"/>
          <w:lang w:val="sq-AL"/>
        </w:rPr>
      </w:pPr>
    </w:p>
    <w:p w14:paraId="20635B43" w14:textId="77777777" w:rsidR="00093E56" w:rsidRDefault="00093E56">
      <w:pPr>
        <w:spacing w:line="276" w:lineRule="auto"/>
        <w:jc w:val="both"/>
        <w:rPr>
          <w:rFonts w:ascii="Candara" w:hAnsi="Candara"/>
          <w:sz w:val="20"/>
          <w:szCs w:val="20"/>
          <w:lang w:val="sq-AL"/>
        </w:rPr>
      </w:pPr>
    </w:p>
    <w:sectPr w:rsidR="00093E56">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6C79"/>
    <w:multiLevelType w:val="multilevel"/>
    <w:tmpl w:val="751C4E36"/>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Candara" w:hAnsi="Candara" w:cs="Candar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DB31E71"/>
    <w:multiLevelType w:val="multilevel"/>
    <w:tmpl w:val="09F8C7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8CE16BA"/>
    <w:multiLevelType w:val="multilevel"/>
    <w:tmpl w:val="A6AA4534"/>
    <w:lvl w:ilvl="0">
      <w:start w:val="1"/>
      <w:numFmt w:val="decimal"/>
      <w:lvlText w:val="%1."/>
      <w:lvlJc w:val="left"/>
      <w:pPr>
        <w:tabs>
          <w:tab w:val="num" w:pos="0"/>
        </w:tabs>
        <w:ind w:left="720" w:hanging="360"/>
      </w:pPr>
      <w:rPr>
        <w:color w:val="auto"/>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321680"/>
    <w:multiLevelType w:val="multilevel"/>
    <w:tmpl w:val="B0F434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5253CD6"/>
    <w:multiLevelType w:val="multilevel"/>
    <w:tmpl w:val="351E1E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44B62EA"/>
    <w:multiLevelType w:val="multilevel"/>
    <w:tmpl w:val="F08019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56"/>
    <w:rsid w:val="00093E56"/>
    <w:rsid w:val="00221DD0"/>
    <w:rsid w:val="00843505"/>
    <w:rsid w:val="00C13D55"/>
    <w:rsid w:val="00D669C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FC4C"/>
  <w15:docId w15:val="{80D6708E-7FD0-4722-9BC2-B28364FF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615"/>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Default">
    <w:name w:val="Default"/>
    <w:qFormat/>
    <w:rsid w:val="008E4615"/>
    <w:pPr>
      <w:widowControl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8C16E9"/>
    <w:pPr>
      <w:ind w:left="720"/>
      <w:contextualSpacing/>
    </w:pPr>
  </w:style>
  <w:style w:type="table" w:customStyle="1" w:styleId="GridTable1Light-Accent51">
    <w:name w:val="Grid Table 1 Light - Accent 51"/>
    <w:basedOn w:val="TableNormal"/>
    <w:uiPriority w:val="46"/>
    <w:rsid w:val="008E4615"/>
    <w:rPr>
      <w:sz w:val="24"/>
      <w:szCs w:val="24"/>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5B9BD5" w:themeColor="accent5"/>
        </w:tcBorders>
      </w:tcPr>
    </w:tblStylePr>
    <w:tblStylePr w:type="lastRow">
      <w:rPr>
        <w:b/>
        <w:bCs/>
      </w:rPr>
      <w:tblPr/>
      <w:tcPr>
        <w:tcBorders>
          <w:top w:val="double" w:sz="2" w:space="0" w:color="5B9BD5" w:themeColor="accent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74FA8-4873-4346-A97E-456B79AF8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32049</Words>
  <Characters>182680</Characters>
  <Application>Microsoft Office Word</Application>
  <DocSecurity>0</DocSecurity>
  <Lines>1522</Lines>
  <Paragraphs>428</Paragraphs>
  <ScaleCrop>false</ScaleCrop>
  <Company>ASHI</Company>
  <LinksUpToDate>false</LinksUpToDate>
  <CharactersWithSpaces>214301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Trendeline Dreshaj</dc:creator>
  <dc:description/>
  <cp:lastModifiedBy>Trendeline Dreshaj</cp:lastModifiedBy>
  <cp:revision>32</cp:revision>
  <dcterms:created xsi:type="dcterms:W3CDTF">2026-06-18T08:59:00Z</dcterms:created>
  <dcterms:modified xsi:type="dcterms:W3CDTF">2026-08-10T07:08:00Z</dcterms:modified>
  <dc:language>en-GB</dc:language>
</cp:coreProperties>
</file>