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F88" w:rsidRPr="00DD4F88" w:rsidRDefault="00DD4F88" w:rsidP="00DD4F88">
      <w:pPr>
        <w:spacing w:line="240" w:lineRule="auto"/>
        <w:jc w:val="center"/>
        <w:rPr>
          <w:rFonts w:eastAsia="MS Mincho"/>
          <w:sz w:val="20"/>
          <w:szCs w:val="20"/>
        </w:rPr>
      </w:pPr>
      <w:bookmarkStart w:id="0" w:name="_GoBack"/>
      <w:bookmarkEnd w:id="0"/>
      <w:r w:rsidRPr="00DD4F88">
        <w:rPr>
          <w:rFonts w:ascii="Sylfaen" w:eastAsia="MS Mincho" w:hAnsi="Sylfaen"/>
          <w:noProof/>
          <w:sz w:val="20"/>
          <w:szCs w:val="20"/>
          <w:lang w:val="en-US"/>
        </w:rPr>
        <w:drawing>
          <wp:inline distT="0" distB="0" distL="0" distR="0" wp14:anchorId="5C141520" wp14:editId="097B59B9">
            <wp:extent cx="819150" cy="944195"/>
            <wp:effectExtent l="0" t="0" r="0" b="889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2198" cy="959235"/>
                    </a:xfrm>
                    <a:prstGeom prst="rect">
                      <a:avLst/>
                    </a:prstGeom>
                    <a:noFill/>
                    <a:ln>
                      <a:noFill/>
                    </a:ln>
                  </pic:spPr>
                </pic:pic>
              </a:graphicData>
            </a:graphic>
          </wp:inline>
        </w:drawing>
      </w:r>
    </w:p>
    <w:p w:rsidR="00DD4F88" w:rsidRPr="00DD4F88" w:rsidRDefault="00DD4F88" w:rsidP="00DD4F88">
      <w:pPr>
        <w:spacing w:line="240" w:lineRule="auto"/>
        <w:jc w:val="center"/>
        <w:rPr>
          <w:rFonts w:ascii="Book Antiqua" w:eastAsia="Batang" w:hAnsi="Book Antiqua"/>
          <w:b/>
          <w:bCs/>
          <w:sz w:val="32"/>
          <w:szCs w:val="32"/>
        </w:rPr>
      </w:pPr>
      <w:r w:rsidRPr="00DD4F88">
        <w:rPr>
          <w:rFonts w:ascii="Book Antiqua" w:eastAsia="MS Mincho" w:hAnsi="Book Antiqua" w:cs="Book Antiqua"/>
          <w:b/>
          <w:bCs/>
          <w:sz w:val="32"/>
          <w:szCs w:val="32"/>
        </w:rPr>
        <w:t>Republika e Kosovës</w:t>
      </w:r>
    </w:p>
    <w:p w:rsidR="00DD4F88" w:rsidRPr="00DD4F88" w:rsidRDefault="00DD4F88" w:rsidP="00DD4F88">
      <w:pPr>
        <w:spacing w:line="240" w:lineRule="auto"/>
        <w:jc w:val="center"/>
        <w:rPr>
          <w:rFonts w:ascii="Book Antiqua" w:eastAsia="MS Mincho" w:hAnsi="Book Antiqua" w:cs="Book Antiqua"/>
          <w:b/>
          <w:bCs/>
          <w:sz w:val="28"/>
          <w:szCs w:val="28"/>
        </w:rPr>
      </w:pPr>
      <w:r w:rsidRPr="00DD4F88">
        <w:rPr>
          <w:rFonts w:ascii="Book Antiqua" w:eastAsia="Batang" w:hAnsi="Book Antiqua" w:cs="Book Antiqua"/>
          <w:b/>
          <w:bCs/>
          <w:sz w:val="28"/>
          <w:szCs w:val="28"/>
        </w:rPr>
        <w:t xml:space="preserve">Republika Kosova - </w:t>
      </w:r>
      <w:r w:rsidRPr="00DD4F88">
        <w:rPr>
          <w:rFonts w:ascii="Book Antiqua" w:eastAsia="MS Mincho" w:hAnsi="Book Antiqua" w:cs="Book Antiqua"/>
          <w:b/>
          <w:bCs/>
          <w:sz w:val="28"/>
          <w:szCs w:val="28"/>
        </w:rPr>
        <w:t>Republic of Kosovo</w:t>
      </w:r>
    </w:p>
    <w:p w:rsidR="00DD4F88" w:rsidRPr="00DD4F88" w:rsidRDefault="00DD4F88" w:rsidP="00DD4F88">
      <w:pPr>
        <w:spacing w:line="240" w:lineRule="auto"/>
        <w:jc w:val="center"/>
        <w:rPr>
          <w:rFonts w:ascii="Book Antiqua" w:eastAsia="MS Mincho" w:hAnsi="Book Antiqua" w:cs="Book Antiqua"/>
          <w:b/>
          <w:bCs/>
          <w:i/>
          <w:iCs/>
          <w:sz w:val="26"/>
          <w:szCs w:val="26"/>
        </w:rPr>
      </w:pPr>
      <w:r w:rsidRPr="00DD4F88">
        <w:rPr>
          <w:rFonts w:ascii="Book Antiqua" w:eastAsia="MS Mincho" w:hAnsi="Book Antiqua" w:cs="Book Antiqua"/>
          <w:b/>
          <w:bCs/>
          <w:i/>
          <w:iCs/>
          <w:sz w:val="26"/>
          <w:szCs w:val="26"/>
        </w:rPr>
        <w:t>Qeveria - Vlada – Government</w:t>
      </w:r>
    </w:p>
    <w:p w:rsidR="00DD4F88" w:rsidRPr="009C7A30" w:rsidRDefault="00DD4F88" w:rsidP="00DD4F88">
      <w:pPr>
        <w:spacing w:line="252" w:lineRule="auto"/>
        <w:ind w:left="1440" w:right="1440"/>
        <w:jc w:val="center"/>
        <w:rPr>
          <w:rFonts w:ascii="Book Antiqua" w:eastAsia="MS Mincho" w:hAnsi="Book Antiqua" w:cs="Book Antiqua"/>
          <w:bCs/>
          <w:i/>
          <w:iCs/>
          <w:sz w:val="26"/>
          <w:szCs w:val="26"/>
        </w:rPr>
      </w:pPr>
      <w:r w:rsidRPr="009C7A30">
        <w:rPr>
          <w:rFonts w:ascii="Book Antiqua" w:eastAsia="MS Mincho" w:hAnsi="Book Antiqua" w:cs="Book Antiqua"/>
          <w:bCs/>
          <w:i/>
          <w:iCs/>
          <w:sz w:val="26"/>
          <w:szCs w:val="26"/>
        </w:rPr>
        <w:t>Ministria e Financave, Punës dhe Transfereve - Ministarstvo Finansija, Rada i Transfera - Ministry of Finance, Labour and Transfers</w:t>
      </w:r>
    </w:p>
    <w:p w:rsidR="00DD4F88" w:rsidRDefault="009C7A30" w:rsidP="007B521A">
      <w:pPr>
        <w:rPr>
          <w:rFonts w:ascii="Times New Roman" w:eastAsia="Calibri" w:hAnsi="Times New Roman" w:cs="Times New Roman"/>
        </w:rPr>
      </w:pPr>
      <w:r>
        <w:rPr>
          <w:rFonts w:ascii="Times New Roman" w:eastAsia="Calibri" w:hAnsi="Times New Roman" w:cs="Times New Roman"/>
        </w:rPr>
        <w:t>_______________________________</w:t>
      </w:r>
      <w:r w:rsidR="00DD4F88">
        <w:rPr>
          <w:rFonts w:ascii="Times New Roman" w:eastAsia="Calibri" w:hAnsi="Times New Roman" w:cs="Times New Roman"/>
        </w:rPr>
        <w:t>______________________________________________________</w:t>
      </w:r>
    </w:p>
    <w:p w:rsidR="00DD4F88" w:rsidRDefault="00DD4F88" w:rsidP="007B521A">
      <w:pPr>
        <w:rPr>
          <w:rFonts w:ascii="Times New Roman" w:eastAsia="Calibri" w:hAnsi="Times New Roman" w:cs="Times New Roman"/>
        </w:rPr>
      </w:pPr>
    </w:p>
    <w:p w:rsidR="007B521A" w:rsidRPr="009C7A30" w:rsidRDefault="007B521A" w:rsidP="007B521A">
      <w:pPr>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Ministri i Ministrisë së Financave, Punës dhe Transfereve</w:t>
      </w:r>
    </w:p>
    <w:p w:rsidR="00EA258D" w:rsidRPr="009C7A30" w:rsidRDefault="007B521A" w:rsidP="00EA258D">
      <w:pPr>
        <w:autoSpaceDE w:val="0"/>
        <w:autoSpaceDN w:val="0"/>
        <w:adjustRightInd w:val="0"/>
        <w:jc w:val="both"/>
        <w:rPr>
          <w:rFonts w:ascii="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 mbështetje të nenit 20, paragrafit 5 dhe të nenit 61, paragrafit 4, të Ligjit Nr. 05/L-037 për Tatimin mbi Vlerën e Shtuar, nenit 11 (1.5) të Ligjit nr.08/L-117 për Qeverinë e Republikës së Kosovës, si dhe nenit 38, paragrafit 6 të Rregullores se punës së Qeverisë Nr. 09/2011, </w:t>
      </w:r>
      <w:r w:rsidR="00EA258D" w:rsidRPr="009C7A30">
        <w:rPr>
          <w:rFonts w:ascii="Times New Roman" w:hAnsi="Times New Roman" w:cs="Times New Roman"/>
          <w:color w:val="000000" w:themeColor="text1"/>
          <w:sz w:val="24"/>
          <w:szCs w:val="24"/>
        </w:rPr>
        <w:t>(Gazeta Zyrtare, nr.15, 12 shtator 2011)</w:t>
      </w:r>
    </w:p>
    <w:p w:rsidR="007B521A" w:rsidRPr="009C7A30" w:rsidRDefault="007B521A" w:rsidP="009E29D9">
      <w:pPr>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nxjerr:</w:t>
      </w:r>
    </w:p>
    <w:p w:rsidR="007B521A" w:rsidRPr="009C7A30" w:rsidRDefault="007B521A" w:rsidP="007B521A">
      <w:pPr>
        <w:spacing w:after="260" w:line="260" w:lineRule="exact"/>
        <w:jc w:val="both"/>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 xml:space="preserve">UDHËZIM </w:t>
      </w:r>
      <w:r w:rsidR="00645DBF" w:rsidRPr="009C7A30">
        <w:rPr>
          <w:rFonts w:ascii="Times New Roman" w:eastAsia="Calibri" w:hAnsi="Times New Roman" w:cs="Times New Roman"/>
          <w:b/>
          <w:bCs/>
          <w:color w:val="000000" w:themeColor="text1"/>
          <w:sz w:val="24"/>
          <w:szCs w:val="24"/>
        </w:rPr>
        <w:t>ADMINISTRATIV MF- NR [...]/ 2023</w:t>
      </w:r>
      <w:r w:rsidRPr="009C7A30">
        <w:rPr>
          <w:rFonts w:ascii="Times New Roman" w:eastAsia="Calibri" w:hAnsi="Times New Roman" w:cs="Times New Roman"/>
          <w:b/>
          <w:bCs/>
          <w:color w:val="000000" w:themeColor="text1"/>
          <w:sz w:val="24"/>
          <w:szCs w:val="24"/>
        </w:rPr>
        <w:t xml:space="preserve"> PËR ZBATIMIN E LIGJIT NR. 05/L-037 PËR TATIMIN MBI VLERËN E SHTUAR - SKEMA E VEÇANTË PËR SHËRBIMET E FURNIZUARA NË MËNYRË ELEKTRONIKE</w:t>
      </w:r>
    </w:p>
    <w:p w:rsidR="007B521A" w:rsidRPr="009C7A30" w:rsidRDefault="007B521A" w:rsidP="00D330E5">
      <w:pPr>
        <w:spacing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w:t>
      </w:r>
    </w:p>
    <w:p w:rsidR="007B521A" w:rsidRPr="009C7A30" w:rsidRDefault="007B521A" w:rsidP="00D330E5">
      <w:pPr>
        <w:spacing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DISPOZITAT E PËRGJITHSHME</w:t>
      </w:r>
    </w:p>
    <w:p w:rsidR="007B521A" w:rsidRPr="009C7A30" w:rsidRDefault="007B521A" w:rsidP="00483F4E">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1</w:t>
      </w:r>
    </w:p>
    <w:p w:rsidR="007B521A" w:rsidRPr="009C7A30" w:rsidRDefault="007B521A" w:rsidP="00483F4E">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Qëllimi</w:t>
      </w:r>
    </w:p>
    <w:p w:rsidR="00483F4E" w:rsidRPr="009C7A30" w:rsidRDefault="00483F4E" w:rsidP="00483F4E">
      <w:pPr>
        <w:spacing w:after="0" w:line="240" w:lineRule="auto"/>
        <w:jc w:val="center"/>
        <w:rPr>
          <w:rFonts w:ascii="Times New Roman" w:eastAsia="Calibri" w:hAnsi="Times New Roman" w:cs="Times New Roman"/>
          <w:color w:val="000000" w:themeColor="text1"/>
          <w:sz w:val="24"/>
          <w:szCs w:val="24"/>
        </w:rPr>
      </w:pP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Qëllimi i këtij Udhëzimi Administrativ është të përcaktojë rregulla të detajuara në lidhje me vendin e furnizimit të shërbimeve të furnizuara në mënyrë elektronike, si dhe udhëzime të hollësishme për zbatimin e skemës së veçantë për </w:t>
      </w:r>
      <w:bookmarkStart w:id="1" w:name="_Hlk84874047"/>
      <w:bookmarkEnd w:id="1"/>
      <w:r w:rsidR="00645DBF" w:rsidRPr="009C7A30">
        <w:rPr>
          <w:rFonts w:ascii="Times New Roman" w:eastAsia="Calibri" w:hAnsi="Times New Roman" w:cs="Times New Roman"/>
          <w:color w:val="000000" w:themeColor="text1"/>
          <w:sz w:val="24"/>
          <w:szCs w:val="24"/>
        </w:rPr>
        <w:t>Tatimin mbi Vlerën e Shtuar (tani e tutje TVSH).</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2</w:t>
      </w:r>
    </w:p>
    <w:p w:rsidR="00483F4E" w:rsidRPr="009C7A30" w:rsidRDefault="007B521A" w:rsidP="009E29D9">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Fushëveprimi</w:t>
      </w:r>
    </w:p>
    <w:p w:rsidR="009E29D9" w:rsidRPr="009C7A30" w:rsidRDefault="009E29D9" w:rsidP="009E29D9">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Dispozitat e këtij Udhëzimi Administrativ janë të obligueshme për Administratën Tatimore të Kosovës (tash e tutje ATK) dhe të gjithë personat  e tatueshëm që mund të jenë subjekt i shërbimeve të furnizuara në mënyrë elektronike e që hyjnë në fushëveprimin e këtij Udhëzimi. </w:t>
      </w:r>
    </w:p>
    <w:p w:rsidR="009E29D9" w:rsidRPr="009C7A30" w:rsidRDefault="009E29D9" w:rsidP="00483F4E">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3</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Përkufizimet</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p w:rsidR="00483F4E" w:rsidRPr="009C7A30" w:rsidRDefault="007B521A" w:rsidP="00483F4E">
      <w:pPr>
        <w:spacing w:after="260" w:line="260" w:lineRule="exact"/>
        <w:jc w:val="both"/>
        <w:rPr>
          <w:rFonts w:ascii="Times New Roman" w:eastAsia="MS Mincho" w:hAnsi="Times New Roman" w:cs="Times New Roman"/>
          <w:b/>
          <w:bCs/>
          <w:color w:val="000000" w:themeColor="text1"/>
          <w:sz w:val="24"/>
          <w:szCs w:val="24"/>
        </w:rPr>
      </w:pPr>
      <w:r w:rsidRPr="009C7A30">
        <w:rPr>
          <w:rFonts w:ascii="Times New Roman" w:eastAsia="Calibri" w:hAnsi="Times New Roman" w:cs="Times New Roman"/>
          <w:color w:val="000000" w:themeColor="text1"/>
          <w:sz w:val="24"/>
          <w:szCs w:val="24"/>
        </w:rPr>
        <w:t>Për qëllime të këtij Udhëzimi Administrativ, shprehjet e përdorura kanë kuptimin e njëjtë sikurse</w:t>
      </w:r>
      <w:r w:rsidRPr="009C7A30">
        <w:rPr>
          <w:rFonts w:ascii="Times New Roman" w:eastAsia="MS Mincho" w:hAnsi="Times New Roman" w:cs="Times New Roman"/>
          <w:color w:val="000000" w:themeColor="text1"/>
          <w:sz w:val="24"/>
          <w:szCs w:val="24"/>
        </w:rPr>
        <w:t xml:space="preserve"> tek përkufizimet </w:t>
      </w:r>
      <w:r w:rsidRPr="009C7A30">
        <w:rPr>
          <w:rFonts w:ascii="Times New Roman" w:eastAsia="Calibri" w:hAnsi="Times New Roman" w:cs="Times New Roman"/>
          <w:color w:val="000000" w:themeColor="text1"/>
          <w:sz w:val="24"/>
          <w:szCs w:val="24"/>
        </w:rPr>
        <w:t xml:space="preserve"> në </w:t>
      </w:r>
      <w:r w:rsidR="00645DBF" w:rsidRPr="009C7A30">
        <w:rPr>
          <w:rFonts w:ascii="Times New Roman" w:eastAsia="Calibri" w:hAnsi="Times New Roman" w:cs="Times New Roman"/>
          <w:color w:val="000000" w:themeColor="text1"/>
          <w:sz w:val="24"/>
          <w:szCs w:val="24"/>
        </w:rPr>
        <w:t>Ligjin Nr. 05/L-037 për Tatimin në Vlerën e Shtuar (tani e tutje Ligji).</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II</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Furnizimi i shërbimeve</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bookmarkStart w:id="2" w:name="_Hlk83825716"/>
      <w:bookmarkStart w:id="3" w:name="_Hlk84873781"/>
      <w:bookmarkEnd w:id="2"/>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4</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Shërbimet e furnizuara në mënyrë elektronike</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bookmarkEnd w:id="3"/>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 “Shërbimet e furnizuara në mënyrë elektronike”, </w:t>
      </w:r>
      <w:r w:rsidR="00645DBF" w:rsidRPr="009C7A30">
        <w:rPr>
          <w:rFonts w:ascii="Times New Roman" w:eastAsia="Calibri" w:hAnsi="Times New Roman" w:cs="Times New Roman"/>
          <w:color w:val="000000" w:themeColor="text1"/>
          <w:sz w:val="24"/>
          <w:szCs w:val="24"/>
        </w:rPr>
        <w:t>për qëllime të këtij Udhëzimi Administrativ</w:t>
      </w:r>
      <w:r w:rsidRPr="009C7A30">
        <w:rPr>
          <w:rFonts w:ascii="Times New Roman" w:eastAsia="Calibri" w:hAnsi="Times New Roman" w:cs="Times New Roman"/>
          <w:color w:val="000000" w:themeColor="text1"/>
          <w:sz w:val="24"/>
          <w:szCs w:val="24"/>
        </w:rPr>
        <w:t>, mbulojnë në veçanti, me sa vijon:</w:t>
      </w:r>
      <w:bookmarkStart w:id="4" w:name="_Hlk83827158"/>
      <w:bookmarkEnd w:id="4"/>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furnizimin e produkteve të digjitalizuara në përgjithësi, duke përfshirë softuerin dhe ndryshimet ose përditësimet e software -it;</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që ofrojnë ose mbështesin një prezencë afariste ose personale në një rrjet elektronik siç është një website ose webpage;</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gjeneruara automatikisht nga një kompjuter nëpërmjet internetit ose një rrjeti elektronik, në përgjigje të të dhënave specifike të dhëna nga marrësi;</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transferimin për konsideratë të së drejtës për të nxjerrë mallra ose shërbime në shitje në një faqe interneti që operon si një treg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në të cilin blerësit potencial bëjnë ofertat e tyre me një procedurë të automatizuar dhe në të cilin palët njoftohen për një shitje nëpërmjet postës elektronike të gjeneruar automatikisht nga kompjuteri;</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Pakot e Shërbimit të Internetit (ISP) të informacioneve, në të cilat komponenti i telekomunikimit përbën një pjesë ndihmëse dhe vartëse (d.m.th. pakot që shkojnë përtej qasjes së thjeshtë në internet dhe përfshijnë elemente të tjera si faqet e përmbajtjes që japin qasje në lajme, raporte për motin ose udhëtime; këndet e lojërave; website hosting; qasja në debatet online etj.);</w:t>
      </w:r>
    </w:p>
    <w:p w:rsidR="007B521A" w:rsidRPr="009C7A30" w:rsidRDefault="007B521A" w:rsidP="00E17523">
      <w:pPr>
        <w:numPr>
          <w:ilvl w:val="1"/>
          <w:numId w:val="5"/>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përcaktuara në Shtojcën II të Ligjit nr. 05/L-037 për Tatimin mbi Vlerën e Shtuar nënkuptohen si në vijim:</w:t>
      </w:r>
    </w:p>
    <w:p w:rsidR="007B521A" w:rsidRPr="009C7A30" w:rsidRDefault="007B521A" w:rsidP="00E17523">
      <w:pPr>
        <w:numPr>
          <w:ilvl w:val="0"/>
          <w:numId w:val="6"/>
        </w:numPr>
        <w:spacing w:after="260" w:line="260" w:lineRule="exact"/>
        <w:ind w:left="1116" w:hanging="54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1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i/>
          <w:color w:val="000000" w:themeColor="text1"/>
          <w:sz w:val="24"/>
          <w:szCs w:val="24"/>
        </w:rPr>
        <w:t>1.6.1.1. Website hosting dhe webpage hosting</w:t>
      </w:r>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1.6.1.2. mirëmbajtjen e automatizuar,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dhe në distancë të programeve;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1.6.1.3. administrimin e sistemeve në distancë;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1.6.1.4. ruajtjen e të dhënave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ku të dhënat specifike ruhen dhe merren në mënyrë elektronike;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 xml:space="preserve">1.6.1.5. furnizimin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të hapësirës së diskut “sipas kërkesës” (ang. on-demand).</w:t>
      </w:r>
    </w:p>
    <w:p w:rsidR="007B521A" w:rsidRPr="009C7A30" w:rsidRDefault="007B521A" w:rsidP="00E200FF">
      <w:pPr>
        <w:numPr>
          <w:ilvl w:val="0"/>
          <w:numId w:val="6"/>
        </w:numPr>
        <w:tabs>
          <w:tab w:val="left" w:pos="1080"/>
          <w:tab w:val="left" w:pos="1260"/>
          <w:tab w:val="left" w:pos="2520"/>
        </w:tabs>
        <w:spacing w:after="260" w:line="260" w:lineRule="exact"/>
        <w:ind w:left="936"/>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2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1.6.2.1. qasjen ose shkarkimin e software-it (duke përfshirë programet e prokurimit/kontabilitetit dhe software-in antivirus) plus përditësimet;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1.6.2.2. software për të bllokuar shfaqjen e reklamave me banerë, i njohur ndryshe si “Bannerblockers”;</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1.6.2.3. shkarkimin e </w:t>
      </w:r>
      <w:r w:rsidRPr="009C7A30">
        <w:rPr>
          <w:rFonts w:ascii="Times New Roman" w:eastAsia="Calibri" w:hAnsi="Times New Roman" w:cs="Times New Roman"/>
          <w:i/>
          <w:color w:val="000000" w:themeColor="text1"/>
          <w:sz w:val="24"/>
          <w:szCs w:val="24"/>
        </w:rPr>
        <w:t>driver-</w:t>
      </w:r>
      <w:r w:rsidRPr="009C7A30">
        <w:rPr>
          <w:rFonts w:ascii="Times New Roman" w:eastAsia="Calibri" w:hAnsi="Times New Roman" w:cs="Times New Roman"/>
          <w:color w:val="000000" w:themeColor="text1"/>
          <w:sz w:val="24"/>
          <w:szCs w:val="24"/>
        </w:rPr>
        <w:t>ëve</w:t>
      </w:r>
      <w:r w:rsidRPr="009C7A30">
        <w:rPr>
          <w:rFonts w:ascii="Times New Roman" w:eastAsia="Calibri" w:hAnsi="Times New Roman" w:cs="Times New Roman"/>
          <w:i/>
          <w:color w:val="000000" w:themeColor="text1"/>
          <w:sz w:val="24"/>
          <w:szCs w:val="24"/>
        </w:rPr>
        <w:t xml:space="preserve"> </w:t>
      </w:r>
      <w:r w:rsidRPr="009C7A30">
        <w:rPr>
          <w:rFonts w:ascii="Times New Roman" w:eastAsia="Calibri" w:hAnsi="Times New Roman" w:cs="Times New Roman"/>
          <w:color w:val="000000" w:themeColor="text1"/>
          <w:sz w:val="24"/>
          <w:szCs w:val="24"/>
        </w:rPr>
        <w:t>(download drivers), të tillë si software-in që ndërlidh kompjuterët me pajisjet periferike (të tilla si printerët);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1.6.2.4. instalimin e automatizuar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të filtrave në websites;</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1.6.2.5. instalimin e automatizuar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të mureve mbrojtëse (Firewalls).</w:t>
      </w:r>
    </w:p>
    <w:p w:rsidR="007B521A" w:rsidRPr="009C7A30" w:rsidRDefault="007B521A" w:rsidP="00E17523">
      <w:pPr>
        <w:numPr>
          <w:ilvl w:val="0"/>
          <w:numId w:val="6"/>
        </w:numPr>
        <w:tabs>
          <w:tab w:val="left" w:pos="1080"/>
        </w:tabs>
        <w:spacing w:after="260" w:line="260" w:lineRule="exact"/>
        <w:ind w:left="90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3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1.6.3.1. Qasjen ose shkarkimin e temave në ekran / desktop themes;</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1.6.3.2. qasjen ose shkarkimin e imazheve fotografike ose pikturale ose pamjeve të ekranit / </w:t>
      </w:r>
      <w:r w:rsidRPr="009C7A30">
        <w:rPr>
          <w:rFonts w:ascii="Times New Roman" w:eastAsia="MS Mincho" w:hAnsi="Times New Roman" w:cs="Times New Roman"/>
          <w:i/>
          <w:color w:val="000000" w:themeColor="text1"/>
          <w:sz w:val="24"/>
          <w:szCs w:val="24"/>
        </w:rPr>
        <w:t>screensavers</w:t>
      </w:r>
      <w:r w:rsidRPr="009C7A30">
        <w:rPr>
          <w:rFonts w:ascii="Times New Roman" w:eastAsia="Calibri" w:hAnsi="Times New Roman" w:cs="Times New Roman"/>
          <w:color w:val="000000" w:themeColor="text1"/>
          <w:sz w:val="24"/>
          <w:szCs w:val="24"/>
        </w:rPr>
        <w:t xml:space="preserve">; </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1.6.3.3. përmbajtjen e digjitalizuar të librave dhe publikimeve të tjera elektronike;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1.6.3.4. abonimin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në gazeta dhe revista në internet;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1.6.3.5. </w:t>
      </w:r>
      <w:r w:rsidRPr="009C7A30">
        <w:rPr>
          <w:rFonts w:ascii="Times New Roman" w:eastAsia="MS Mincho" w:hAnsi="Times New Roman" w:cs="Times New Roman"/>
          <w:i/>
          <w:color w:val="000000" w:themeColor="text1"/>
          <w:sz w:val="24"/>
          <w:szCs w:val="24"/>
        </w:rPr>
        <w:t>weblogs</w:t>
      </w:r>
      <w:r w:rsidRPr="009C7A30">
        <w:rPr>
          <w:rFonts w:ascii="Times New Roman" w:eastAsia="Calibri" w:hAnsi="Times New Roman" w:cs="Times New Roman"/>
          <w:i/>
          <w:color w:val="000000" w:themeColor="text1"/>
          <w:sz w:val="24"/>
          <w:szCs w:val="24"/>
        </w:rPr>
        <w:t xml:space="preserve"> </w:t>
      </w:r>
      <w:r w:rsidRPr="009C7A30">
        <w:rPr>
          <w:rFonts w:ascii="Times New Roman" w:eastAsia="Calibri" w:hAnsi="Times New Roman" w:cs="Times New Roman"/>
          <w:color w:val="000000" w:themeColor="text1"/>
          <w:sz w:val="24"/>
          <w:szCs w:val="24"/>
        </w:rPr>
        <w:t xml:space="preserve">dhe statistikat e </w:t>
      </w:r>
      <w:r w:rsidRPr="009C7A30">
        <w:rPr>
          <w:rFonts w:ascii="Times New Roman" w:eastAsia="Calibri" w:hAnsi="Times New Roman" w:cs="Times New Roman"/>
          <w:i/>
          <w:color w:val="000000" w:themeColor="text1"/>
          <w:sz w:val="24"/>
          <w:szCs w:val="24"/>
        </w:rPr>
        <w:t>website</w:t>
      </w:r>
      <w:r w:rsidRPr="009C7A30">
        <w:rPr>
          <w:rFonts w:ascii="Times New Roman" w:eastAsia="Calibri" w:hAnsi="Times New Roman" w:cs="Times New Roman"/>
          <w:color w:val="000000" w:themeColor="text1"/>
          <w:sz w:val="24"/>
          <w:szCs w:val="24"/>
        </w:rPr>
        <w:t>-eve;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1.6.3.6. lajmet në internet, informacionet mbi trafikun dhe raportet e motit;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1.6.3.7. informacionet në internet të gjeneruara automatikisht nga softueri nga të dhënat specifike të futura nga klienti, si të dhënat ligjore dhe financiare (veçanërisht të dhëna të tilla si të dhënat e tregut të aksioneve të përditësuara vazhdimisht, në kohë reale);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1.6.3.8. ofrimin e hapësirës reklamuese duke përfshirë reklamat me banerë (</w:t>
      </w:r>
      <w:r w:rsidRPr="009C7A30">
        <w:rPr>
          <w:rFonts w:ascii="Times New Roman" w:eastAsia="Calibri" w:hAnsi="Times New Roman" w:cs="Times New Roman"/>
          <w:i/>
          <w:color w:val="000000" w:themeColor="text1"/>
          <w:sz w:val="24"/>
          <w:szCs w:val="24"/>
        </w:rPr>
        <w:t>banner</w:t>
      </w:r>
      <w:r w:rsidRPr="009C7A30">
        <w:rPr>
          <w:rFonts w:ascii="Times New Roman" w:eastAsia="Calibri" w:hAnsi="Times New Roman" w:cs="Times New Roman"/>
          <w:color w:val="000000" w:themeColor="text1"/>
          <w:sz w:val="24"/>
          <w:szCs w:val="24"/>
        </w:rPr>
        <w:t xml:space="preserve">) në një </w:t>
      </w:r>
      <w:r w:rsidRPr="009C7A30">
        <w:rPr>
          <w:rFonts w:ascii="Times New Roman" w:eastAsia="MS Mincho" w:hAnsi="Times New Roman" w:cs="Times New Roman"/>
          <w:color w:val="000000" w:themeColor="text1"/>
          <w:sz w:val="24"/>
          <w:szCs w:val="24"/>
        </w:rPr>
        <w:t>website/web page</w:t>
      </w:r>
      <w:r w:rsidRPr="009C7A30">
        <w:rPr>
          <w:rFonts w:ascii="Times New Roman" w:eastAsia="Calibri" w:hAnsi="Times New Roman" w:cs="Times New Roman"/>
          <w:color w:val="000000" w:themeColor="text1"/>
          <w:sz w:val="24"/>
          <w:szCs w:val="24"/>
        </w:rPr>
        <w: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1.6.3.9. përdorimin e makinave të kërkimit (</w:t>
      </w:r>
      <w:r w:rsidRPr="009C7A30">
        <w:rPr>
          <w:rFonts w:ascii="Times New Roman" w:eastAsia="MS Mincho" w:hAnsi="Times New Roman" w:cs="Times New Roman"/>
          <w:color w:val="000000" w:themeColor="text1"/>
          <w:sz w:val="24"/>
          <w:szCs w:val="24"/>
        </w:rPr>
        <w:t>search engines)</w:t>
      </w:r>
      <w:r w:rsidRPr="009C7A30">
        <w:rPr>
          <w:rFonts w:ascii="Times New Roman" w:eastAsia="Calibri" w:hAnsi="Times New Roman" w:cs="Times New Roman"/>
          <w:color w:val="000000" w:themeColor="text1"/>
          <w:sz w:val="24"/>
          <w:szCs w:val="24"/>
        </w:rPr>
        <w:t xml:space="preserve"> dhe direktoriumeve të internetit (</w:t>
      </w:r>
      <w:r w:rsidRPr="009C7A30">
        <w:rPr>
          <w:rFonts w:ascii="Times New Roman" w:eastAsia="MS Mincho" w:hAnsi="Times New Roman" w:cs="Times New Roman"/>
          <w:color w:val="000000" w:themeColor="text1"/>
          <w:sz w:val="24"/>
          <w:szCs w:val="24"/>
        </w:rPr>
        <w:t>Internet directories)</w:t>
      </w:r>
      <w:r w:rsidRPr="009C7A30">
        <w:rPr>
          <w:rFonts w:ascii="Times New Roman" w:eastAsia="Calibri" w:hAnsi="Times New Roman" w:cs="Times New Roman"/>
          <w:color w:val="000000" w:themeColor="text1"/>
          <w:sz w:val="24"/>
          <w:szCs w:val="24"/>
        </w:rPr>
        <w:t>.</w:t>
      </w:r>
    </w:p>
    <w:p w:rsidR="007B521A" w:rsidRPr="009C7A30" w:rsidRDefault="007B521A" w:rsidP="00740633">
      <w:pPr>
        <w:numPr>
          <w:ilvl w:val="0"/>
          <w:numId w:val="6"/>
        </w:numPr>
        <w:tabs>
          <w:tab w:val="left" w:pos="1080"/>
          <w:tab w:val="left" w:pos="1260"/>
        </w:tabs>
        <w:spacing w:after="260" w:line="260" w:lineRule="exact"/>
        <w:ind w:left="99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4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1.6.4.1. qasjen ose shkarkimin e muzikës në kompjuterë dhe telefona celularë;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1.6.4.2. qasjen ose shkarkimin e melodive, fragmenteve, zileve ose tingujve të tjerë;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1.6.4.3. qasjen ose shkarkimin e filmave;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1.6.4.4. shkarkimin e lojërave në kompjuterë dhe telefona celularë;</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1.6.4.5. qasjen në lojëra të automatizuara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 xml:space="preserve"> që varen nga interneti, ose rrjete të tjera të ngjashme elektronike, ku lojtarët janë në largësi gjeografike nga njëri-tjetri;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1.6.4.6. marrjen e programeve të radios ose televizionit të shpërndara nëpërmjet një rrjeti radio ose televiziv, interneti ose rrjeti elektronik të ngjashëm, për të dëgjuar ose shikuar programe në momentin e zgjedhur nga përdoruesi dhe me kërkesën individuale të përdoruesit, në bazë të një katalogu programesh të përzgjedhura nga ofruesi i shërbimeve mediale, si TV ose video sipas kërkesës;</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1.6.4.7. marrjen e programeve radio ose televizive, të shpërndara përmes internetit ose rrjeteve të ngjashme elektronike (IP streaming), përveç rasteve kur ato transmetohen njëkohësisht me transmetimin ose ritransmetimin e tyre përmes një rrjeti radioteleviziv;</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1.6.4.8. furnizimin e përmbajtjes audio dhe audiovizuale përmes rrjeteve të komunikimit, të cilat nuk ofrohen nga dhe nën përgjegjësinë editoriale të një ofruesi të shërbimeve mediale;</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1.6.4.9. furnizimin e mëtejshëm të prodhimit audio dhe audiovizual të një ofruesi të shërbimeve mediale përmes rrjeteve të komunikimit nga dikush tjetër përveç ofruesit të shërbimeve mediale.</w:t>
      </w:r>
    </w:p>
    <w:p w:rsidR="007B521A" w:rsidRPr="009C7A30" w:rsidRDefault="007B521A" w:rsidP="00E17523">
      <w:pPr>
        <w:numPr>
          <w:ilvl w:val="0"/>
          <w:numId w:val="6"/>
        </w:numPr>
        <w:tabs>
          <w:tab w:val="left" w:pos="1170"/>
          <w:tab w:val="left" w:pos="2070"/>
        </w:tabs>
        <w:spacing w:after="260" w:line="260" w:lineRule="exact"/>
        <w:ind w:left="936"/>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Paragrafi 5 i Shtojcës II të Ligjit përfshin në veçanti:</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1.6.5.1. Mësimdhënien e automatizuar në distancë, që varet nga interneti ose një rrjet elektronik i ngjashëm për të funksionuar dhe furnizimi i së cilës kërkon pak ose aspak ndërhyrje njerëzore, duke përfshirë klasat virtuale, përveç rasteve kur interneti ose rrjeti elektronik i ngjashëm përdoret si një mjet thjesht për komunikimin midis mësuesit dhe nxënësit;</w:t>
      </w:r>
    </w:p>
    <w:p w:rsidR="007B521A" w:rsidRPr="009C7A30" w:rsidRDefault="007B521A" w:rsidP="00E17523">
      <w:pPr>
        <w:spacing w:after="260" w:line="260" w:lineRule="exact"/>
        <w:ind w:left="864"/>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1.6.5.2. fletore pune të plotësuara nga nxënësit në internet dhe të shenjëzuara automatikisht, pa ndërhyrjen njerëzore.</w:t>
      </w:r>
    </w:p>
    <w:p w:rsidR="007B521A" w:rsidRPr="009C7A30" w:rsidRDefault="007B521A" w:rsidP="007B521A">
      <w:pPr>
        <w:spacing w:after="260" w:line="260" w:lineRule="exact"/>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2. “Shërbimet e furnizuara në mënyrë elektronike” </w:t>
      </w:r>
      <w:r w:rsidR="00645DBF" w:rsidRPr="009C7A30">
        <w:rPr>
          <w:rFonts w:ascii="Times New Roman" w:eastAsia="Calibri" w:hAnsi="Times New Roman" w:cs="Times New Roman"/>
          <w:color w:val="000000" w:themeColor="text1"/>
          <w:sz w:val="24"/>
          <w:szCs w:val="24"/>
        </w:rPr>
        <w:t>për qëllime të këtij Udhëzimi Administrativ,</w:t>
      </w:r>
      <w:r w:rsidRPr="009C7A30">
        <w:rPr>
          <w:rFonts w:ascii="Times New Roman" w:eastAsia="Calibri" w:hAnsi="Times New Roman" w:cs="Times New Roman"/>
          <w:color w:val="000000" w:themeColor="text1"/>
          <w:sz w:val="24"/>
          <w:szCs w:val="24"/>
        </w:rPr>
        <w:t xml:space="preserve"> </w:t>
      </w:r>
      <w:r w:rsidRPr="009C7A30">
        <w:rPr>
          <w:rFonts w:ascii="Times New Roman" w:eastAsia="Calibri" w:hAnsi="Times New Roman" w:cs="Times New Roman"/>
          <w:b/>
          <w:color w:val="000000" w:themeColor="text1"/>
          <w:sz w:val="24"/>
          <w:szCs w:val="24"/>
        </w:rPr>
        <w:t>nuk</w:t>
      </w:r>
      <w:r w:rsidRPr="009C7A30">
        <w:rPr>
          <w:rFonts w:ascii="Times New Roman" w:eastAsia="Calibri" w:hAnsi="Times New Roman" w:cs="Times New Roman"/>
          <w:color w:val="000000" w:themeColor="text1"/>
          <w:sz w:val="24"/>
          <w:szCs w:val="24"/>
        </w:rPr>
        <w:t xml:space="preserve"> mbulojnë si vijon:</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transmetimit (broadcasting);</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telekomunikacionit;</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mallrat, ku porosia dhe përpunimi bëhet në mënyrë elektronike;</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CD-ROM,  disketat (floppy discs) dhe media të ngjashme të prekshme;</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materiale të shtypura, të tilla si libra, buletine, gazeta ose revista;</w:t>
      </w:r>
    </w:p>
    <w:p w:rsidR="007B521A" w:rsidRPr="009C7A30" w:rsidRDefault="007B521A" w:rsidP="00E17523">
      <w:pPr>
        <w:numPr>
          <w:ilvl w:val="1"/>
          <w:numId w:val="12"/>
        </w:numPr>
        <w:spacing w:after="260" w:line="260" w:lineRule="exact"/>
        <w:ind w:left="738" w:hanging="45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CD dhe audio kaseta;</w:t>
      </w:r>
    </w:p>
    <w:p w:rsidR="007B521A" w:rsidRPr="009C7A30" w:rsidRDefault="007B521A" w:rsidP="00E17523">
      <w:pPr>
        <w:numPr>
          <w:ilvl w:val="1"/>
          <w:numId w:val="12"/>
        </w:numPr>
        <w:spacing w:after="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lastRenderedPageBreak/>
        <w:t>videokaseta dhe DVD;</w:t>
      </w:r>
    </w:p>
    <w:p w:rsidR="009B28D4" w:rsidRPr="009C7A30" w:rsidRDefault="009B28D4" w:rsidP="00E17523">
      <w:pPr>
        <w:spacing w:after="0" w:line="260" w:lineRule="exact"/>
        <w:ind w:left="288"/>
        <w:jc w:val="both"/>
        <w:rPr>
          <w:rFonts w:ascii="Times New Roman" w:eastAsia="Calibri" w:hAnsi="Times New Roman" w:cs="Times New Roman"/>
          <w:color w:val="000000" w:themeColor="text1"/>
          <w:sz w:val="24"/>
          <w:szCs w:val="24"/>
        </w:rPr>
      </w:pP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lojëra në një CD-ROM;</w:t>
      </w:r>
    </w:p>
    <w:p w:rsidR="007B521A" w:rsidRPr="009C7A30" w:rsidRDefault="007B521A" w:rsidP="00E17523">
      <w:pPr>
        <w:numPr>
          <w:ilvl w:val="1"/>
          <w:numId w:val="12"/>
        </w:numPr>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profesionistëve si avokatët dhe konsulentët financiarë, të cilët këshillojnë klientët përmes adresës elektronike;</w:t>
      </w:r>
    </w:p>
    <w:p w:rsidR="007B521A" w:rsidRPr="009C7A30" w:rsidRDefault="007B521A" w:rsidP="00740633">
      <w:pPr>
        <w:numPr>
          <w:ilvl w:val="1"/>
          <w:numId w:val="12"/>
        </w:numPr>
        <w:tabs>
          <w:tab w:val="left" w:pos="450"/>
          <w:tab w:val="left" w:pos="630"/>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mësimdhënies, ku përmbajtja e kursit ofrohet nga një mësues nëpërmjet internetit ose një rrjeti elektronik (përkatësisht përmes një lidhjeje në distancë);</w:t>
      </w:r>
    </w:p>
    <w:p w:rsidR="007B521A" w:rsidRPr="009C7A30" w:rsidRDefault="007B521A" w:rsidP="00740633">
      <w:pPr>
        <w:numPr>
          <w:ilvl w:val="1"/>
          <w:numId w:val="12"/>
        </w:numPr>
        <w:tabs>
          <w:tab w:val="left" w:pos="450"/>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riparimit fizik </w:t>
      </w:r>
      <w:r w:rsidRPr="009C7A30">
        <w:rPr>
          <w:rFonts w:ascii="Times New Roman" w:eastAsia="Calibri" w:hAnsi="Times New Roman" w:cs="Times New Roman"/>
          <w:i/>
          <w:color w:val="000000" w:themeColor="text1"/>
          <w:sz w:val="24"/>
          <w:szCs w:val="24"/>
        </w:rPr>
        <w:t>offline</w:t>
      </w:r>
      <w:r w:rsidRPr="009C7A30">
        <w:rPr>
          <w:rFonts w:ascii="Times New Roman" w:eastAsia="Calibri" w:hAnsi="Times New Roman" w:cs="Times New Roman"/>
          <w:color w:val="000000" w:themeColor="text1"/>
          <w:sz w:val="24"/>
          <w:szCs w:val="24"/>
        </w:rPr>
        <w:t xml:space="preserve"> të pajisjeve kompjuterike;</w:t>
      </w:r>
    </w:p>
    <w:p w:rsidR="007B521A" w:rsidRPr="009C7A30" w:rsidRDefault="007B521A" w:rsidP="00E17523">
      <w:pPr>
        <w:numPr>
          <w:ilvl w:val="1"/>
          <w:numId w:val="12"/>
        </w:numPr>
        <w:tabs>
          <w:tab w:val="left" w:pos="900"/>
        </w:tabs>
        <w:spacing w:after="260" w:line="260" w:lineRule="exact"/>
        <w:ind w:left="288" w:firstLine="9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shërbimet e ruajtjes së të dhënave </w:t>
      </w:r>
      <w:r w:rsidRPr="009C7A30">
        <w:rPr>
          <w:rFonts w:ascii="Times New Roman" w:eastAsia="Calibri" w:hAnsi="Times New Roman" w:cs="Times New Roman"/>
          <w:i/>
          <w:color w:val="000000" w:themeColor="text1"/>
          <w:sz w:val="24"/>
          <w:szCs w:val="24"/>
        </w:rPr>
        <w:t>offline</w:t>
      </w:r>
      <w:r w:rsidRPr="009C7A30">
        <w:rPr>
          <w:rFonts w:ascii="Times New Roman" w:eastAsia="Calibri" w:hAnsi="Times New Roman" w:cs="Times New Roman"/>
          <w:color w:val="000000" w:themeColor="text1"/>
          <w:sz w:val="24"/>
          <w:szCs w:val="24"/>
        </w:rPr>
        <w:t>;</w:t>
      </w:r>
    </w:p>
    <w:p w:rsidR="007B521A" w:rsidRPr="009C7A30" w:rsidRDefault="007B521A" w:rsidP="00E17523">
      <w:pPr>
        <w:numPr>
          <w:ilvl w:val="1"/>
          <w:numId w:val="12"/>
        </w:numPr>
        <w:tabs>
          <w:tab w:val="left" w:pos="900"/>
        </w:tabs>
        <w:spacing w:after="260" w:line="260" w:lineRule="exact"/>
        <w:ind w:left="468" w:hanging="18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reklamimit, veçanërisht si në gazeta, në posterë dhe në televizion;</w:t>
      </w:r>
    </w:p>
    <w:p w:rsidR="007B521A" w:rsidRPr="009C7A30" w:rsidRDefault="007B521A" w:rsidP="00E17523">
      <w:pPr>
        <w:numPr>
          <w:ilvl w:val="1"/>
          <w:numId w:val="12"/>
        </w:numPr>
        <w:tabs>
          <w:tab w:val="left" w:pos="90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ndihmës përmes telefonit;</w:t>
      </w:r>
    </w:p>
    <w:p w:rsidR="007B521A" w:rsidRPr="009C7A30" w:rsidRDefault="007B521A" w:rsidP="00E17523">
      <w:pPr>
        <w:numPr>
          <w:ilvl w:val="1"/>
          <w:numId w:val="12"/>
        </w:numPr>
        <w:tabs>
          <w:tab w:val="left" w:pos="90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e mësimdhënies që thjeshtë përfshijnë kurset me korrespondencë, të tilla si kurset e dorëzuara me postë;</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shërbimet konvencionale të ankandeve të mbështetura në ndërhyrjen e drejtpërdrejtë njerëzore, pavarësisht se si bëhen ofertat;</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bileta për ngjarje kulturore, artistike, sportive, shkencore, arsimore, argëtuese ose të ngjashme të rezervuara në internet;</w:t>
      </w:r>
    </w:p>
    <w:p w:rsidR="007B521A" w:rsidRPr="009C7A30" w:rsidRDefault="007B521A" w:rsidP="00E17523">
      <w:pPr>
        <w:numPr>
          <w:ilvl w:val="1"/>
          <w:numId w:val="12"/>
        </w:numPr>
        <w:tabs>
          <w:tab w:val="left" w:pos="810"/>
        </w:tabs>
        <w:spacing w:after="260" w:line="260" w:lineRule="exact"/>
        <w:ind w:left="648"/>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akomodimi, marrja me qira e makinave, shërbimet e restorantit, transporti i pasagjerëve ose shërbime të ngjashme që rezervohen </w:t>
      </w:r>
      <w:r w:rsidRPr="009C7A30">
        <w:rPr>
          <w:rFonts w:ascii="Times New Roman" w:eastAsia="Calibri" w:hAnsi="Times New Roman" w:cs="Times New Roman"/>
          <w:i/>
          <w:color w:val="000000" w:themeColor="text1"/>
          <w:sz w:val="24"/>
          <w:szCs w:val="24"/>
        </w:rPr>
        <w:t>online</w:t>
      </w:r>
      <w:r w:rsidRPr="009C7A30">
        <w:rPr>
          <w:rFonts w:ascii="Times New Roman" w:eastAsia="Calibri" w:hAnsi="Times New Roman" w:cs="Times New Roman"/>
          <w:color w:val="000000" w:themeColor="text1"/>
          <w:sz w:val="24"/>
          <w:szCs w:val="24"/>
        </w:rPr>
        <w:t>.</w:t>
      </w:r>
    </w:p>
    <w:p w:rsidR="007B521A" w:rsidRPr="009C7A30" w:rsidRDefault="007B521A" w:rsidP="007B521A">
      <w:pPr>
        <w:spacing w:before="240" w:after="260" w:line="260" w:lineRule="exact"/>
        <w:ind w:left="720"/>
        <w:contextualSpacing/>
        <w:jc w:val="both"/>
        <w:rPr>
          <w:rFonts w:ascii="Times New Roman" w:eastAsia="Calibri" w:hAnsi="Times New Roman" w:cs="Times New Roman"/>
          <w:color w:val="000000" w:themeColor="text1"/>
          <w:sz w:val="24"/>
          <w:szCs w:val="24"/>
        </w:rPr>
      </w:pPr>
    </w:p>
    <w:p w:rsidR="007B521A" w:rsidRPr="009C7A30" w:rsidRDefault="007B521A" w:rsidP="007B521A">
      <w:pPr>
        <w:spacing w:after="26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KAPITULLI III</w:t>
      </w:r>
    </w:p>
    <w:p w:rsidR="007B521A" w:rsidRPr="009C7A30" w:rsidRDefault="007B521A" w:rsidP="007B521A">
      <w:pPr>
        <w:spacing w:after="26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Personat e tatueshëm  që janë subjekt i Skemës për shërbimet e f</w:t>
      </w:r>
      <w:r w:rsidR="00E200FF" w:rsidRPr="009C7A30">
        <w:rPr>
          <w:rFonts w:ascii="Times New Roman" w:eastAsia="Calibri" w:hAnsi="Times New Roman" w:cs="Times New Roman"/>
          <w:b/>
          <w:bCs/>
          <w:color w:val="000000" w:themeColor="text1"/>
          <w:sz w:val="24"/>
          <w:szCs w:val="24"/>
        </w:rPr>
        <w:t>urnizuara në mënyrë elektronike</w:t>
      </w:r>
      <w:r w:rsidRPr="009C7A30">
        <w:rPr>
          <w:rFonts w:ascii="Times New Roman" w:eastAsia="Calibri" w:hAnsi="Times New Roman" w:cs="Times New Roman"/>
          <w:b/>
          <w:bCs/>
          <w:color w:val="000000" w:themeColor="text1"/>
          <w:sz w:val="24"/>
          <w:szCs w:val="24"/>
        </w:rPr>
        <w:t xml:space="preserve"> </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5</w:t>
      </w:r>
    </w:p>
    <w:p w:rsidR="007B521A" w:rsidRPr="009C7A30" w:rsidRDefault="007B521A" w:rsidP="00483F4E">
      <w:pPr>
        <w:spacing w:after="0" w:line="260" w:lineRule="exact"/>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 xml:space="preserve">Regjistrimi </w:t>
      </w:r>
    </w:p>
    <w:p w:rsidR="00483F4E" w:rsidRPr="009C7A30" w:rsidRDefault="00483F4E" w:rsidP="00483F4E">
      <w:pPr>
        <w:spacing w:after="0" w:line="260" w:lineRule="exact"/>
        <w:jc w:val="center"/>
        <w:rPr>
          <w:rFonts w:ascii="Times New Roman" w:eastAsia="Calibri" w:hAnsi="Times New Roman" w:cs="Times New Roman"/>
          <w:b/>
          <w:bCs/>
          <w:color w:val="000000" w:themeColor="text1"/>
          <w:sz w:val="24"/>
          <w:szCs w:val="24"/>
        </w:rPr>
      </w:pPr>
    </w:p>
    <w:p w:rsidR="007B521A" w:rsidRPr="009C7A30" w:rsidRDefault="007B521A" w:rsidP="009B28D4">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Një person i tatueshëm që aplikon për skemën sipas nenit 61, paragrafit 4 të Ligjit duhet të dorëzojë përmes mjeteve elektronike formularin e aplikimit për regjistrim. Formulari i regjistrimit duhet të përfshijë informacionet e përcaktuara në Shtojcën I të këtij Udhëzimi Administrativ.</w:t>
      </w:r>
    </w:p>
    <w:p w:rsidR="007B521A" w:rsidRPr="009C7A30" w:rsidRDefault="007B521A" w:rsidP="009B28D4">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Brenda 10 ditëve të punës pas pranimit të formularit të aplikimit, ATK-ja duhet të kryejë një verifikim dhe vendos nëse do të lëshojë certifikatën e regjistrimit apo jo.</w:t>
      </w:r>
    </w:p>
    <w:p w:rsidR="007B521A" w:rsidRPr="009C7A30" w:rsidRDefault="007B521A" w:rsidP="00E17523">
      <w:pPr>
        <w:numPr>
          <w:ilvl w:val="1"/>
          <w:numId w:val="18"/>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Nëse ATK-ja konstaton se personi i tatueshëm i plotëson kriteret për regjistrim sipas skemës, duhet të regjistron personin e tatueshëm, përgatitë certifikatën e regjistrimit dhe njofton </w:t>
      </w:r>
      <w:r w:rsidRPr="009C7A30">
        <w:rPr>
          <w:rFonts w:ascii="Times New Roman" w:eastAsia="Calibri" w:hAnsi="Times New Roman" w:cs="Times New Roman"/>
          <w:color w:val="000000" w:themeColor="text1"/>
          <w:sz w:val="24"/>
          <w:szCs w:val="24"/>
        </w:rPr>
        <w:lastRenderedPageBreak/>
        <w:t>personin e tatueshëm përmes mjeteve elektronike. Megjithatë, nëse ATK-ja konstaton se personi i tatueshëm nuk i plotëson kriteret për skemën, ATK-ja duhet t’i dërgon tatimpaguesit nëpërmjet mjeteve elektronike një njoftim me shkrim se certifikata e regjistrimit nuk mund të lëshohet përmes mjeteve elektronike. Njoftimi duhet të përfshin arsyet për mos lëshimin e certifikatës së regjistrimit.</w:t>
      </w:r>
    </w:p>
    <w:p w:rsidR="007B521A" w:rsidRPr="009C7A30" w:rsidRDefault="007B521A" w:rsidP="005A2A6A">
      <w:pPr>
        <w:numPr>
          <w:ilvl w:val="1"/>
          <w:numId w:val="18"/>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ATK-ja duhet t’i ndan personit të tatueshëm që nuk është i vendosur në Kosovë, një numër individual identifikues të TVSH-së për aplikimin e kësaj skeme të veçantë dhe duhet të njoftoj atë për këtë numër përmes mjeteve elektronike. </w:t>
      </w:r>
    </w:p>
    <w:p w:rsidR="007B521A" w:rsidRPr="009C7A30" w:rsidRDefault="007B521A" w:rsidP="005A2A6A">
      <w:pPr>
        <w:numPr>
          <w:ilvl w:val="1"/>
          <w:numId w:val="18"/>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Kur një person i tatueshëm informon ATK-në se synon të përdorë skemën e veçantë, skema e veçantë duhet të zbatohet nga dita e parë e tremujorit kalendarik pasues. Megjithatë, kur furnizimi i parë i shërbimeve që mbulohet nga skema bëhet përpara kësaj date, skema e veçantë duhet të zbatohet nga data e atij furnizimi të parë, me kusht që personi i tatueshëm informon ATK-në për fillimin e aktiviteteve të tij që do të mbulohen nga skema jo më vonë se dita e dhjetë e muajit që pason atë furnizim të parë.</w:t>
      </w:r>
    </w:p>
    <w:p w:rsidR="007B521A"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Neni 6</w:t>
      </w:r>
    </w:p>
    <w:p w:rsidR="00483F4E" w:rsidRPr="009C7A30" w:rsidRDefault="007B521A" w:rsidP="00D330E5">
      <w:pPr>
        <w:spacing w:after="0" w:line="240" w:lineRule="auto"/>
        <w:jc w:val="center"/>
        <w:rPr>
          <w:rFonts w:ascii="Times New Roman" w:eastAsia="Calibri" w:hAnsi="Times New Roman" w:cs="Times New Roman"/>
          <w:b/>
          <w:bCs/>
          <w:color w:val="000000" w:themeColor="text1"/>
          <w:sz w:val="24"/>
          <w:szCs w:val="24"/>
        </w:rPr>
      </w:pPr>
      <w:r w:rsidRPr="009C7A30">
        <w:rPr>
          <w:rFonts w:ascii="Times New Roman" w:eastAsia="Calibri" w:hAnsi="Times New Roman" w:cs="Times New Roman"/>
          <w:b/>
          <w:bCs/>
          <w:color w:val="000000" w:themeColor="text1"/>
          <w:sz w:val="24"/>
          <w:szCs w:val="24"/>
        </w:rPr>
        <w:t>Deklarata e TVSH-së</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Personi i tatueshëm që nuk është i vendosur në Kosovë, që shfrytëzon këtë skemë të veçantë, duhet të dorëzoj në ATK në mënyrë elektronike një deklaratë të TVSH-së për çdo tremujor kalendarik, pavarësisht nëse janë furnizuar apo jo shërbimet e mbuluara nga kjo skemë e veçantë. Deklarata e TVSH-së duhet të dorëzohet deri në fund të muajit që pason përfundimin e  periudhës tatimore të mbuluar nga deklarata. </w:t>
      </w:r>
    </w:p>
    <w:p w:rsidR="007B521A" w:rsidRPr="009C7A30" w:rsidRDefault="007B521A" w:rsidP="00E17523">
      <w:pPr>
        <w:numPr>
          <w:ilvl w:val="1"/>
          <w:numId w:val="6"/>
        </w:numPr>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Deklarata e TVSH-së duhet të tregojë numrin individual të identifikimit të TVSH-së për aplikimin e kësaj skeme të veçantë dhe vlerën totale pa TVSH të furnizimeve të shërbimeve të mbuluara nga skema e veçantë, të kryera gjatë periudhës tatimore dhe shumën totale për normë të TVSH-së korresponduese. Normat e aplikueshme të TVSH-së dhe totali i TVSH-së për pagesë duhet të tregohen gjithashtu në deklaratë. Formulari i deklaratës së TVSH-së duhet të përfshijë informacionet e përcaktuara në Shtojcën II të këtij udhëzimi administrativ.</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Nëse kërkohet ndonjë ndryshim në deklaratën e TVSH-së pas dorëzimit të saj, këto ndryshime duhet të përfshihen në një deklaratë pasuese brenda tre viteve nga data në të cilën është kërkuar dorëzimi i deklaratës fillestare, në përputhje me paragrafin 1</w:t>
      </w:r>
      <w:r w:rsidR="00E200FF" w:rsidRPr="009C7A30">
        <w:rPr>
          <w:rFonts w:ascii="Times New Roman" w:eastAsia="Times New Roman" w:hAnsi="Times New Roman" w:cs="Times New Roman"/>
          <w:color w:val="000000" w:themeColor="text1"/>
          <w:sz w:val="24"/>
          <w:szCs w:val="24"/>
        </w:rPr>
        <w:t xml:space="preserve"> të këtij neni</w:t>
      </w:r>
      <w:r w:rsidRPr="009C7A30">
        <w:rPr>
          <w:rFonts w:ascii="Times New Roman" w:eastAsia="Times New Roman" w:hAnsi="Times New Roman" w:cs="Times New Roman"/>
          <w:color w:val="000000" w:themeColor="text1"/>
          <w:sz w:val="24"/>
          <w:szCs w:val="24"/>
        </w:rPr>
        <w:t>. Kjo deklaratë pasuese e TVSH-së duhet të identifikojë periudhën tatimore dhe shumën e TVSH-së për të cilën kërkohet ndonjë ndryshim.</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b/>
          <w:bCs/>
          <w:color w:val="000000" w:themeColor="text1"/>
          <w:sz w:val="24"/>
          <w:szCs w:val="24"/>
        </w:rPr>
      </w:pPr>
      <w:r w:rsidRPr="009C7A30">
        <w:rPr>
          <w:rFonts w:ascii="Times New Roman" w:eastAsia="Times New Roman" w:hAnsi="Times New Roman" w:cs="Times New Roman"/>
          <w:color w:val="000000" w:themeColor="text1"/>
          <w:sz w:val="24"/>
          <w:szCs w:val="24"/>
        </w:rPr>
        <w:t xml:space="preserve">Shumat në deklaratën e TVSH-së plotësohen në euro. Nëse furnizimet janë bërë në valuta të tjera, personi i tatueshëm që nuk është i vendosur në Kosovë, për qëllime të plotësimit të deklaratës së TVSH-së, duhet të përdorë kursin e këmbimit që aplikohet në ditën e fundit të periudhës tatimore. Konvertimi duhet të bëhet duke aplikuar kurset e këmbimit të publikuara nga Banka Qendrore e Kosovës për atë ditë ose, nëse nuk ka publikim atë ditë, ditën tjetër të publikimit. </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Nëse një person i tatueshëm që përdor skemën e veçantë nuk ka furnizuar shërbime në Kosovë gjatë periudhës së deklarimit dhe nuk ka korrigjime për të bërë në lidhje me deklaratat e mëparshme, ai duhet të dorëzojë një deklaratë të TVSH-së që tregon se nuk janë bërë furnizime gjatë asaj periudhe (deklaratë me TVSH zero).</w:t>
      </w:r>
    </w:p>
    <w:p w:rsidR="007B521A" w:rsidRPr="009C7A30" w:rsidRDefault="007B521A" w:rsidP="00E17523">
      <w:pPr>
        <w:numPr>
          <w:ilvl w:val="1"/>
          <w:numId w:val="6"/>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Shumat e deklaratave të TVSH-së të bëra sipas skemës së veçantë nuk duhet të rrumbullaksohen lartë ose poshtë në njësinë monetare të plotë më të afërt. Duhet të raportohet dhe dërgohet shuma e saktë e TVSH-së.</w:t>
      </w:r>
    </w:p>
    <w:p w:rsidR="007B521A" w:rsidRPr="009C7A30" w:rsidRDefault="007B521A" w:rsidP="007B521A">
      <w:pPr>
        <w:shd w:val="clear" w:color="auto" w:fill="FFFFFF"/>
        <w:spacing w:before="120" w:after="120" w:line="240" w:lineRule="auto"/>
        <w:ind w:left="540"/>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7</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Periudhat e raportimit</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numPr>
          <w:ilvl w:val="1"/>
          <w:numId w:val="16"/>
        </w:numPr>
        <w:shd w:val="clear" w:color="auto" w:fill="FFFFFF"/>
        <w:spacing w:before="120" w:after="120" w:line="240" w:lineRule="auto"/>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Periudha e raportimit sipas skemës së veçantë është tremujori kalendarik. Çdo periudhë deklarimi sipas kuptimit të nenit 6 konsiderohet periudhë e veçantë e deklarimit.</w:t>
      </w:r>
    </w:p>
    <w:p w:rsidR="007B521A" w:rsidRPr="009C7A30" w:rsidRDefault="007B521A" w:rsidP="007B521A">
      <w:pPr>
        <w:numPr>
          <w:ilvl w:val="1"/>
          <w:numId w:val="16"/>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Në rastet kur, në përputhje me  paragrafin 5, të nenit 5, skema zbatohet nga data e furnizimit të parë, personi i tatueshëm duhet të paraqesë një deklaratë të veçantë të TVSH-së për tremujorin kalendarik gjatë të cilit është kryer furnizimi i parë.</w:t>
      </w:r>
    </w:p>
    <w:p w:rsidR="007B521A" w:rsidRPr="009C7A30" w:rsidRDefault="007B521A" w:rsidP="007B521A">
      <w:p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p>
    <w:p w:rsidR="007B521A" w:rsidRPr="009C7A30" w:rsidRDefault="007B521A" w:rsidP="007B521A">
      <w:pPr>
        <w:spacing w:after="26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8</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Rikujtuesit për deklaratën e TVSH-së</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ATK-ja rikujton me anë të mjeteve elektronike personat e tatueshëm të cilët nuk kanë dorëzuar deklaratën e TVSH-së sipas nenit 6, për obligimin e tyre për të dorëzuar një deklaratë të tillë. ATK-ja duhet të lëshojë rikujtuesen në ditën e dhjetë pas ditës në të cilën është dashur të dorëzohet deklarata.</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2. Në rast se personat e tatueshëm nuk dorëzojnë deklaratën e TVSH-së brenda afateve të përcaktuara me këtë udhëzim, </w:t>
      </w:r>
      <w:r w:rsidRPr="009C7A30">
        <w:rPr>
          <w:rFonts w:ascii="Times New Roman" w:eastAsia="MS Mincho" w:hAnsi="Times New Roman" w:cs="Times New Roman"/>
          <w:color w:val="000000" w:themeColor="text1"/>
          <w:sz w:val="24"/>
          <w:szCs w:val="24"/>
        </w:rPr>
        <w:t>aplikohen interesat dhe ndëshkimet administrative të parapara sipas Legjislacionit tatimor.</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9</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Deklarata e TVSH-së në rast çregjistrimi / përjashtimi</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Një person i tatueshëm duhet të dorëzojë deklaratën e tij përfundimtare të TVSH-së dhe çdo dorëzim të vonuar të deklaratave të mëparshme, si dhe pagesat përkatëse në ATK, në kohën e ndërprerjes ose përjashtimit kur: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ai ndalon së përdoruri skemën e veçantë;</w:t>
      </w:r>
    </w:p>
    <w:p w:rsidR="00E200FF" w:rsidRPr="009C7A30" w:rsidRDefault="007B521A" w:rsidP="009E29D9">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ai është i përjashtuar nga skema e veçantë.</w:t>
      </w:r>
    </w:p>
    <w:p w:rsidR="00E200FF" w:rsidRPr="009C7A30" w:rsidRDefault="00E200FF" w:rsidP="00E17523">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10</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Pagesat e TVSH-së</w:t>
      </w:r>
    </w:p>
    <w:p w:rsidR="00D330E5" w:rsidRPr="009C7A30" w:rsidRDefault="00D330E5" w:rsidP="00D330E5">
      <w:pPr>
        <w:spacing w:before="120"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E17523">
      <w:pPr>
        <w:numPr>
          <w:ilvl w:val="0"/>
          <w:numId w:val="23"/>
        </w:numPr>
        <w:shd w:val="clear" w:color="auto" w:fill="FFFFFF"/>
        <w:spacing w:before="120" w:after="120" w:line="240" w:lineRule="auto"/>
        <w:ind w:left="360"/>
        <w:contextualSpacing/>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duhet të paguaj TVSH-në, duke iu referuar deklaratës përkatëse të TVSH-së, me rastin e dorëzimit të deklaratës së TVSH-së por jo më vonë se deri në skadimin e afatit në të cilin duhet të dorëzohet deklarata.</w:t>
      </w:r>
    </w:p>
    <w:p w:rsidR="007B521A" w:rsidRPr="009C7A30" w:rsidRDefault="007B521A" w:rsidP="007B521A">
      <w:pPr>
        <w:shd w:val="clear" w:color="auto" w:fill="FFFFFF"/>
        <w:spacing w:before="120" w:after="120" w:line="240" w:lineRule="auto"/>
        <w:ind w:left="720"/>
        <w:contextualSpacing/>
        <w:jc w:val="both"/>
        <w:rPr>
          <w:rFonts w:ascii="Times New Roman" w:eastAsia="Times New Roman" w:hAnsi="Times New Roman" w:cs="Times New Roman"/>
          <w:color w:val="000000" w:themeColor="text1"/>
          <w:sz w:val="24"/>
          <w:szCs w:val="24"/>
        </w:rPr>
      </w:pP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Pagesa duhet të bëhet në një llogari bankare të përcaktuar në euro.</w:t>
      </w: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Çdo rregullim i mëpasshëm i shumave të paguara duhet të kryhet nga personi i tatueshëm vetëm duke iu referuar asaj deklarate dhe nuk mund t’i alokohet një deklarate tjetër dhe as të rregullohet në një deklaratë pasuese. Çdo pagesë i referohet numrit referues të asaj deklarate specifike.</w:t>
      </w:r>
    </w:p>
    <w:p w:rsidR="007B521A" w:rsidRPr="009C7A30" w:rsidRDefault="007B521A" w:rsidP="00E17523">
      <w:pPr>
        <w:numPr>
          <w:ilvl w:val="0"/>
          <w:numId w:val="23"/>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Kur ATK-ja merr një pagesë më të madhe se ajo që rezulton nga deklarata e TVSH-së e dorëzuar sipas nenit 8, e njëjta duhet t’ia rimburson shumën e mbi paguar drejtpërdrejt personit të  tatueshëm në fjalë.</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11</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Rikujtuesit për pagesat e TVSH-së</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1. Kur një person i tatueshëm ka dorëzuar deklaratën e TVSH-së sipas nenit 6, por nuk është bërë asnjë pagesë, ose pagesa është më e vogël se ajo që rezulton nga deklarata, ATK-ja duhet me anë të mjeteve elektronike, në ditën e dhjetë pas ditës së fundit në të cilën duhej të bëhej pagesa në përputhje me nenin 10, i rikujtojnë personit të tatueshëm çdo pagesë të papaguar të TVSH-së. </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2. Për vonesat e dorëzimit të deklaratës së TVSH-së, </w:t>
      </w:r>
      <w:r w:rsidR="00E200FF" w:rsidRPr="009C7A30">
        <w:rPr>
          <w:rFonts w:ascii="Times New Roman" w:eastAsia="Times New Roman" w:hAnsi="Times New Roman" w:cs="Times New Roman"/>
          <w:color w:val="000000" w:themeColor="text1"/>
          <w:sz w:val="24"/>
          <w:szCs w:val="24"/>
        </w:rPr>
        <w:t>mos pagesave</w:t>
      </w:r>
      <w:r w:rsidRPr="009C7A30">
        <w:rPr>
          <w:rFonts w:ascii="Times New Roman" w:eastAsia="Times New Roman" w:hAnsi="Times New Roman" w:cs="Times New Roman"/>
          <w:color w:val="000000" w:themeColor="text1"/>
          <w:sz w:val="24"/>
          <w:szCs w:val="24"/>
        </w:rPr>
        <w:t xml:space="preserve"> apo pagesave jo të plota që rezultojnë nga deklarata e TVSH-së sipas afateve të përcaktuara me këtë Udhëzim</w:t>
      </w:r>
      <w:r w:rsidR="00EA258D" w:rsidRPr="009C7A30">
        <w:rPr>
          <w:rFonts w:ascii="Times New Roman" w:hAnsi="Times New Roman" w:cs="Times New Roman"/>
          <w:color w:val="000000" w:themeColor="text1"/>
          <w:sz w:val="24"/>
          <w:szCs w:val="24"/>
        </w:rPr>
        <w:t xml:space="preserve"> Administrativ</w:t>
      </w:r>
      <w:r w:rsidR="00EA258D"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 aplikohen intereset dhe ndëshkimet administrative të parapara sipas Legjislacionit tatimor.</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12</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Zbritja e TVSH-së</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D330E5" w:rsidRPr="009C7A30" w:rsidRDefault="007B521A" w:rsidP="00D330E5">
      <w:pPr>
        <w:shd w:val="clear" w:color="auto" w:fill="FFFFFF"/>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i cili përdorë këtë skemë të veçantë, nuk mund ta zbresë TVSH-në sipas nenit 36 të Ligjit.</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noProof/>
          <w:color w:val="000000" w:themeColor="text1"/>
          <w:sz w:val="24"/>
          <w:szCs w:val="24"/>
        </w:rPr>
        <w:t>Neni</w:t>
      </w:r>
      <w:r w:rsidRPr="009C7A30">
        <w:rPr>
          <w:rFonts w:ascii="Times New Roman" w:eastAsia="MS Mincho" w:hAnsi="Times New Roman" w:cs="Times New Roman"/>
          <w:b/>
          <w:bCs/>
          <w:color w:val="000000" w:themeColor="text1"/>
          <w:sz w:val="24"/>
          <w:szCs w:val="24"/>
        </w:rPr>
        <w:t xml:space="preserve"> 13</w:t>
      </w:r>
    </w:p>
    <w:p w:rsidR="007B521A" w:rsidRPr="009C7A30" w:rsidRDefault="007B521A" w:rsidP="00D330E5">
      <w:pPr>
        <w:spacing w:after="0" w:line="260" w:lineRule="exact"/>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 xml:space="preserve">Shënimet </w:t>
      </w:r>
    </w:p>
    <w:p w:rsidR="00D330E5" w:rsidRPr="009C7A30" w:rsidRDefault="00D330E5" w:rsidP="00D330E5">
      <w:pPr>
        <w:spacing w:after="0" w:line="260" w:lineRule="exact"/>
        <w:jc w:val="center"/>
        <w:rPr>
          <w:rFonts w:ascii="Times New Roman" w:eastAsia="MS Mincho" w:hAnsi="Times New Roman" w:cs="Times New Roman"/>
          <w:b/>
          <w:bCs/>
          <w:color w:val="000000" w:themeColor="text1"/>
          <w:sz w:val="24"/>
          <w:szCs w:val="24"/>
        </w:rPr>
      </w:pPr>
    </w:p>
    <w:p w:rsidR="007B521A" w:rsidRPr="009C7A30" w:rsidRDefault="007B521A" w:rsidP="00D330E5">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që nuk është i vendosur në Kosovë duhet të mbajë shënime për transaksionet e mbuluara nga kjo skemë e veçantë. Këto shënime duhet të jenë mjaftueshëm të detajuara për t'i mundësuar ATK-së të verifikojë nëse deklarata e TVSH-së është e saktë.</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Shënimet e përmendura në paragrafin 1</w:t>
      </w:r>
      <w:r w:rsidR="00E200FF" w:rsidRPr="009C7A30">
        <w:rPr>
          <w:rFonts w:ascii="Times New Roman" w:eastAsia="Times New Roman" w:hAnsi="Times New Roman" w:cs="Times New Roman"/>
          <w:color w:val="000000" w:themeColor="text1"/>
          <w:sz w:val="24"/>
          <w:szCs w:val="24"/>
        </w:rPr>
        <w:t xml:space="preserve"> të këtij neni </w:t>
      </w:r>
      <w:r w:rsidRPr="009C7A30">
        <w:rPr>
          <w:rFonts w:ascii="Times New Roman" w:eastAsia="Times New Roman" w:hAnsi="Times New Roman" w:cs="Times New Roman"/>
          <w:color w:val="000000" w:themeColor="text1"/>
          <w:sz w:val="24"/>
          <w:szCs w:val="24"/>
        </w:rPr>
        <w:t xml:space="preserve"> duhet t’i vihen në dispozicion ATK-së në mënyrë elektronike, sipas kërkesës. Këto shënime duhet të mbahen për një periudhë prej 10 (dhjetë) viteve nga fundi i vitit gjatë të cilit është kryer transaksioni.</w:t>
      </w:r>
    </w:p>
    <w:p w:rsidR="007B521A" w:rsidRPr="009C7A30" w:rsidRDefault="007B521A" w:rsidP="007B521A">
      <w:pPr>
        <w:numPr>
          <w:ilvl w:val="1"/>
          <w:numId w:val="15"/>
        </w:numPr>
        <w:shd w:val="clear" w:color="auto" w:fill="FFFFFF"/>
        <w:spacing w:before="120" w:after="120" w:line="240" w:lineRule="auto"/>
        <w:rPr>
          <w:rFonts w:ascii="Times New Roman" w:eastAsia="Times New Roman" w:hAnsi="Times New Roman" w:cs="Times New Roman"/>
          <w:i/>
          <w:iCs/>
          <w:color w:val="000000" w:themeColor="text1"/>
          <w:sz w:val="24"/>
          <w:szCs w:val="24"/>
        </w:rPr>
      </w:pPr>
      <w:r w:rsidRPr="009C7A30">
        <w:rPr>
          <w:rFonts w:ascii="Times New Roman" w:eastAsia="Times New Roman" w:hAnsi="Times New Roman" w:cs="Times New Roman"/>
          <w:color w:val="000000" w:themeColor="text1"/>
          <w:sz w:val="24"/>
          <w:szCs w:val="24"/>
        </w:rPr>
        <w:t>Në mënyrë që të konsiderohen si mjaftueshëm të detajuara sipas kuptimit të këtij neni, shënimet e mbajtura nga personi i tatueshëm duhet të përmbajnë informacionin e mëposhtëm:</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3.1. llojin e shërbimeve të furnizuara;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3.2. datën e furnizimit të shërbimeve;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3.3. shumën e tatueshme që tregon valutën e përdorur;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3.4. çdo rritje ose ulje të mëvonshme të shumës së tatueshme;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lastRenderedPageBreak/>
        <w:t>3.5. normën e TVSH-së të aplikuar;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3.6. shumën e TVSH-së së pagueshme duke treguar valutën e përdorur;</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3.7. datën dhe shumën e pagesave të pranuara;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3.8. çdo pagesë në llogari të pranuar para furnizimit të shërbimeve;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3.9. kur lëshohet një faturë, informacionin që përmban fatura;</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3.10. informacionin e përdorur për të përcaktuar vendin ku është i vendosur klienti ose ka adresën e tij të përhershme ose banon zakonisht;</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Informacioni i përmendur në paragrafin 3 </w:t>
      </w:r>
      <w:r w:rsidR="003C41EB" w:rsidRPr="009C7A30">
        <w:rPr>
          <w:rFonts w:ascii="Times New Roman" w:eastAsia="Times New Roman" w:hAnsi="Times New Roman" w:cs="Times New Roman"/>
          <w:color w:val="000000" w:themeColor="text1"/>
          <w:sz w:val="24"/>
          <w:szCs w:val="24"/>
        </w:rPr>
        <w:t xml:space="preserve">të këtij neni </w:t>
      </w:r>
      <w:r w:rsidRPr="009C7A30">
        <w:rPr>
          <w:rFonts w:ascii="Times New Roman" w:eastAsia="Times New Roman" w:hAnsi="Times New Roman" w:cs="Times New Roman"/>
          <w:color w:val="000000" w:themeColor="text1"/>
          <w:sz w:val="24"/>
          <w:szCs w:val="24"/>
        </w:rPr>
        <w:t>duhet të regjistrohet nga personi i tatueshëm në mënyrë të tillë që të mund të vihet në dispozicion me anë të mjeteve elektronike pa vonesë dhe në lidhje me çdo shërbim individual të furnizuar.</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Kur një personi të tatueshëm i është kërkuar të dorëzojë shënimet me anë të mjeteve elektronike dhe ai nuk ka arritur t'i dorëzojë ato brenda 20 ditëve nga data e kërkesës, ATK-ja do t'i rikujtojë personit të tatueshëm që t'i dorëzojë ato shënime. </w:t>
      </w:r>
    </w:p>
    <w:p w:rsidR="007B521A" w:rsidRPr="009C7A30" w:rsidRDefault="007B521A" w:rsidP="007B521A">
      <w:pPr>
        <w:numPr>
          <w:ilvl w:val="1"/>
          <w:numId w:val="15"/>
        </w:num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Në rast se personi i tatueshëm nuk dorëzon shënimet e kërkuara brenda afateve të përcaktuara me këtë Udhëzim , </w:t>
      </w:r>
      <w:r w:rsidRPr="009C7A30">
        <w:rPr>
          <w:rFonts w:ascii="Times New Roman" w:eastAsia="Calibri" w:hAnsi="Times New Roman" w:cs="Times New Roman"/>
          <w:color w:val="000000" w:themeColor="text1"/>
          <w:sz w:val="24"/>
          <w:szCs w:val="24"/>
        </w:rPr>
        <w:t>aplikohen ndëshkimet administrative të parapara sipas Legjislacionit tatimor.</w:t>
      </w:r>
    </w:p>
    <w:p w:rsidR="007B521A" w:rsidRPr="009C7A30" w:rsidRDefault="007B521A" w:rsidP="007B521A">
      <w:pPr>
        <w:shd w:val="clear" w:color="auto" w:fill="FFFFFF"/>
        <w:spacing w:before="120" w:after="120" w:line="240" w:lineRule="auto"/>
        <w:ind w:left="450"/>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14</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Detyrime të tjera raportuese</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Personi i tatueshëm duhet, jo ​​më vonë se dita e dhjetë e muajit të ardhshëm, të informon ATK-në me anë të mjeteve elektronike për ndonjë nga të mëposhtmet:</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ndërprerjen e aktiviteteve të tij të mbuluara nga skema e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çdo ndryshim në aktivitetet e tij të mbuluara nga skema e veçantë, ku ai nuk i plotëson më kushtet e nevojshme për përdorimin e kësaj skeme të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1.3. çdo ndryshim të informacionit të dhënë më parë në ATK.</w:t>
      </w:r>
    </w:p>
    <w:p w:rsidR="00D330E5" w:rsidRPr="009C7A30" w:rsidRDefault="00D330E5" w:rsidP="00EA258D">
      <w:pPr>
        <w:shd w:val="clear" w:color="auto" w:fill="FFFFFF"/>
        <w:spacing w:before="240" w:after="260" w:line="260" w:lineRule="exact"/>
        <w:contextualSpacing/>
        <w:jc w:val="both"/>
        <w:rPr>
          <w:rFonts w:ascii="Times New Roman" w:eastAsia="Times New Roman" w:hAnsi="Times New Roman" w:cs="Times New Roman"/>
          <w:color w:val="000000" w:themeColor="text1"/>
          <w:sz w:val="24"/>
          <w:szCs w:val="24"/>
        </w:rPr>
      </w:pPr>
    </w:p>
    <w:p w:rsidR="00D330E5" w:rsidRPr="009C7A30" w:rsidRDefault="00D330E5" w:rsidP="007B521A">
      <w:pPr>
        <w:shd w:val="clear" w:color="auto" w:fill="FFFFFF"/>
        <w:spacing w:before="240" w:after="260" w:line="260" w:lineRule="exact"/>
        <w:ind w:left="720"/>
        <w:contextualSpacing/>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15</w:t>
      </w:r>
    </w:p>
    <w:p w:rsidR="00CC0DC8"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Çregjistrimi/përjashtimi</w:t>
      </w:r>
    </w:p>
    <w:p w:rsidR="00CC0DC8" w:rsidRPr="009C7A30" w:rsidRDefault="00CC0DC8" w:rsidP="00CC0DC8">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CC0DC8">
      <w:pPr>
        <w:shd w:val="clear" w:color="auto" w:fill="FFFFFF"/>
        <w:spacing w:before="120" w:after="120" w:line="240" w:lineRule="auto"/>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 ATK-ja duhet të fshijë personin e tatueshëm që nuk është i vendosur në Kosovë nga regjistri i identifikimit të TVSH-së në rastet si në vijim:</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1.1. nëse e njofton ATK-në se nuk ofron më shërbime të mbuluara nga kjo skemë e veçantë;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1.2. nëse ndryshe mund të supozohet se aktivitetet e tij të tatueshme janë ndërprerë;</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1.3. nëse nuk i plotëson më kushtet e nevojshme për përdorimin e kësaj skeme të veçantë dhe</w:t>
      </w:r>
    </w:p>
    <w:p w:rsidR="007B521A" w:rsidRPr="009C7A30" w:rsidRDefault="007B521A" w:rsidP="009B28D4">
      <w:pPr>
        <w:shd w:val="clear" w:color="auto" w:fill="FFFFFF"/>
        <w:spacing w:before="120" w:after="120" w:line="240" w:lineRule="auto"/>
        <w:ind w:left="288"/>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1.4. nëse ai vazhdimisht nuk respekton rregullat në lidhje me këtë skemë të veçantë.</w:t>
      </w:r>
    </w:p>
    <w:p w:rsidR="007B521A" w:rsidRPr="009C7A30" w:rsidRDefault="007B521A" w:rsidP="007B521A">
      <w:pPr>
        <w:shd w:val="clear" w:color="auto" w:fill="FFFFFF"/>
        <w:spacing w:after="260" w:line="260" w:lineRule="exact"/>
        <w:jc w:val="both"/>
        <w:rPr>
          <w:rFonts w:ascii="Times New Roman" w:eastAsia="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16</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Ndërprerja vullnetare</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2267B3">
      <w:pPr>
        <w:numPr>
          <w:ilvl w:val="0"/>
          <w:numId w:val="32"/>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Personi i tatueshëm, i cili përdor skemën, mund të ndërpresë përdorimin e skemës së veçantë pavarësisht nëse ai vazhdon të furnizojë shërbime që mund të jenë të pranueshme për skemën. Personi i tatueshëm duhet të informoj ATK-në së paku 15 ditë para përfundimit të tremujorit kalendarik, para atij në të cilin ai synon të ndërpresë përdorimin e skemës. Ndërprerja duhet të hyjë në fuqi nga dita e parë e tremujorit të ardhshëm kalendarik.</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Personi i tatueshëm që aplikon për anulimin e regjistrimit në skemë duhet të dorëzoj formularin e çregjistrimit në zyrën rajonale përkatëse të ATK-së me anë të mjeteve elektronike.</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Brenda 60 ditëve të punës pas pranimit të formularit, ATK-ja duhet të verifikoj dhe  përcaktojë nëse do të lëshojë certifikatën e çregjistrimit apo jo.</w:t>
      </w:r>
    </w:p>
    <w:p w:rsidR="007B521A" w:rsidRPr="009C7A30" w:rsidRDefault="007B521A" w:rsidP="002267B3">
      <w:pPr>
        <w:numPr>
          <w:ilvl w:val="0"/>
          <w:numId w:val="32"/>
        </w:numPr>
        <w:spacing w:before="120" w:after="120" w:line="240" w:lineRule="auto"/>
        <w:ind w:left="360"/>
        <w:jc w:val="both"/>
        <w:rPr>
          <w:rFonts w:ascii="Times New Roman" w:eastAsia="Calibri" w:hAnsi="Times New Roman" w:cs="Times New Roman"/>
          <w:color w:val="000000" w:themeColor="text1"/>
          <w:sz w:val="24"/>
          <w:szCs w:val="24"/>
        </w:rPr>
      </w:pPr>
      <w:r w:rsidRPr="009C7A30">
        <w:rPr>
          <w:rFonts w:ascii="Times New Roman" w:eastAsia="Calibri" w:hAnsi="Times New Roman" w:cs="Times New Roman"/>
          <w:color w:val="000000" w:themeColor="text1"/>
          <w:sz w:val="24"/>
          <w:szCs w:val="24"/>
        </w:rPr>
        <w:t xml:space="preserve">Nëse ATK-ja konstaton se personi i tatueshëm i plotëson kriteret për çregjistrim sipas skemës, duhet të çregjistrojë atë person, të përgatisë certifikatë çregjistrimi dhe të njoftojë tatimpaguesin me anë të mjeteve elektronike. Megjithatë, nëse ATK-ja zbulon se personi i tatueshëm nuk i plotëson kriteret për çregjistrim, ATK-ja duhet t'i dërgojë tatimpaguesit një njoftim me shkrim se certifikata e çregjistrimit nuk mund të lëshohet me anë të mjeteve elektronike. Njoftimi duhet të përfshijë arsyet për </w:t>
      </w:r>
      <w:r w:rsidR="00BB5453" w:rsidRPr="009C7A30">
        <w:rPr>
          <w:rFonts w:ascii="Times New Roman" w:eastAsia="Calibri" w:hAnsi="Times New Roman" w:cs="Times New Roman"/>
          <w:color w:val="000000" w:themeColor="text1"/>
          <w:sz w:val="24"/>
          <w:szCs w:val="24"/>
        </w:rPr>
        <w:t>mos lëshimin</w:t>
      </w:r>
      <w:r w:rsidRPr="009C7A30">
        <w:rPr>
          <w:rFonts w:ascii="Times New Roman" w:eastAsia="Calibri" w:hAnsi="Times New Roman" w:cs="Times New Roman"/>
          <w:color w:val="000000" w:themeColor="text1"/>
          <w:sz w:val="24"/>
          <w:szCs w:val="24"/>
        </w:rPr>
        <w:t xml:space="preserve"> e certifikatës së çregjistrimit.</w:t>
      </w:r>
    </w:p>
    <w:p w:rsidR="00D330E5" w:rsidRPr="009C7A30" w:rsidRDefault="007B521A" w:rsidP="002267B3">
      <w:pPr>
        <w:numPr>
          <w:ilvl w:val="0"/>
          <w:numId w:val="32"/>
        </w:numPr>
        <w:spacing w:before="120" w:after="120" w:line="240" w:lineRule="auto"/>
        <w:ind w:left="360"/>
        <w:jc w:val="both"/>
        <w:rPr>
          <w:rFonts w:ascii="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Detyrimet e TVSH-së në lidhje me furnizimet e shërbimeve që lindin pas datës në të cilën ndërprerja ka hyrë në fuqi duhet të </w:t>
      </w:r>
      <w:r w:rsidRPr="009C7A30">
        <w:rPr>
          <w:rFonts w:ascii="Times New Roman" w:eastAsia="Calibri" w:hAnsi="Times New Roman" w:cs="Times New Roman"/>
          <w:color w:val="000000" w:themeColor="text1"/>
          <w:sz w:val="24"/>
          <w:szCs w:val="24"/>
        </w:rPr>
        <w:t>shkarkohen sipas</w:t>
      </w:r>
      <w:r w:rsidRPr="009C7A30">
        <w:rPr>
          <w:rFonts w:ascii="Times New Roman" w:eastAsia="Times New Roman" w:hAnsi="Times New Roman" w:cs="Times New Roman"/>
          <w:color w:val="000000" w:themeColor="text1"/>
          <w:sz w:val="24"/>
          <w:szCs w:val="24"/>
        </w:rPr>
        <w:t xml:space="preserve"> rregullave të përgjithshme të Ligjit.</w:t>
      </w:r>
    </w:p>
    <w:p w:rsidR="00D330E5" w:rsidRPr="009C7A30" w:rsidRDefault="00D330E5" w:rsidP="007B521A">
      <w:pPr>
        <w:spacing w:before="120" w:after="120" w:line="240" w:lineRule="auto"/>
        <w:ind w:left="720"/>
        <w:jc w:val="both"/>
        <w:rPr>
          <w:rFonts w:ascii="Times New Roman" w:hAnsi="Times New Roman" w:cs="Times New Roman"/>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bookmarkStart w:id="5" w:name="_Hlk84910453"/>
      <w:r w:rsidRPr="009C7A30">
        <w:rPr>
          <w:rFonts w:ascii="Times New Roman" w:eastAsia="MS Mincho" w:hAnsi="Times New Roman" w:cs="Times New Roman"/>
          <w:b/>
          <w:bCs/>
          <w:color w:val="000000" w:themeColor="text1"/>
          <w:sz w:val="24"/>
          <w:szCs w:val="24"/>
        </w:rPr>
        <w:t>Neni 17</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Përjashtimi</w:t>
      </w:r>
    </w:p>
    <w:p w:rsidR="00D330E5" w:rsidRPr="009C7A30" w:rsidRDefault="00D330E5" w:rsidP="00D330E5">
      <w:pPr>
        <w:spacing w:after="0" w:line="240" w:lineRule="auto"/>
        <w:jc w:val="center"/>
        <w:rPr>
          <w:rFonts w:ascii="Times New Roman" w:eastAsia="MS Mincho" w:hAnsi="Times New Roman" w:cs="Times New Roman"/>
          <w:b/>
          <w:bCs/>
          <w:color w:val="000000" w:themeColor="text1"/>
          <w:sz w:val="24"/>
          <w:szCs w:val="24"/>
        </w:rPr>
      </w:pPr>
    </w:p>
    <w:bookmarkEnd w:id="5"/>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Kur një person i tatueshëm, i cili përdor skemën e veçantë, plotëson një ose më shumë nga kriteret për fshirje nga regjistri i identifikimit, të përcaktuara në nenin 15, ATK-ja duhet të përjashtojë atë person të tatueshëm nga ajo skemë. ATK-ja duhet të bazojë vendimin e saj për përjashtim ose fshirje mbështetur mbi çdo informacion në dispozicion.</w:t>
      </w:r>
    </w:p>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Përjashtimi i një personi të tatueshëm nga skema hyn në fuqi nga dita e parë e tremujorit kalendarik që pason ditën në të cilën vendimi për përjashtimin i është dërguar me anë të mjeteve elektronike personit të tatueshëm. Megjithatë, kur përjashtimi është për shkak të ndryshimit të vendit të biznesit ose selisë fikse, përjashtimi hyn në fuqi që nga data e atij ndryshimi.</w:t>
      </w:r>
    </w:p>
    <w:p w:rsidR="007B521A" w:rsidRPr="009C7A30" w:rsidRDefault="007B521A" w:rsidP="00C66133">
      <w:pPr>
        <w:numPr>
          <w:ilvl w:val="1"/>
          <w:numId w:val="2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Një person i tatueshëm që përdor skemën e veçantë, i cili, për një periudhë dy vjeçare, nuk ka bërë asnjë furnizim të shërbimeve të mbuluara nga ajo skemë në Kosovë, duhet të supozohet se i ka ndërprerë aktivitetet e tij të tatueshme sipas kuptimit të nën</w:t>
      </w:r>
      <w:r w:rsidR="00EA258D"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paragrafit 1.2., të paragrafit 1, të nenit 15. Kjo ndërprerje nuk duhet të pengojë atë nga përdorimi i një skeme të veçantë nëse ai rifillon aktivitetet e tij të mbuluara nga ndonjë skemë.</w:t>
      </w:r>
    </w:p>
    <w:p w:rsidR="007B521A" w:rsidRPr="009C7A30" w:rsidRDefault="007B521A" w:rsidP="007B521A">
      <w:pPr>
        <w:spacing w:before="120" w:after="120" w:line="240" w:lineRule="auto"/>
        <w:rPr>
          <w:rFonts w:ascii="Times New Roman" w:eastAsia="MS Mincho" w:hAnsi="Times New Roman" w:cs="Times New Roman"/>
          <w:b/>
          <w:bCs/>
          <w:color w:val="000000" w:themeColor="text1"/>
          <w:sz w:val="24"/>
          <w:szCs w:val="24"/>
        </w:rPr>
      </w:pP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lastRenderedPageBreak/>
        <w:t>Neni 20</w:t>
      </w:r>
    </w:p>
    <w:p w:rsidR="007B521A" w:rsidRPr="009C7A30" w:rsidRDefault="007B521A" w:rsidP="00D330E5">
      <w:pPr>
        <w:spacing w:after="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Periudha e karantinës</w:t>
      </w:r>
    </w:p>
    <w:p w:rsidR="00483F4E" w:rsidRPr="009C7A30" w:rsidRDefault="00483F4E"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D330E5">
      <w:pPr>
        <w:numPr>
          <w:ilvl w:val="0"/>
          <w:numId w:val="3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Kur një person i tatueshëm përjashtohet nga skema e veçantë për shkak të dështimit të vazhdueshëm për t'iu përmbajtur rregullave që lidhen me skemën, ai person i tatueshëm duhet të mbetet i përjashtuar nga përdorimi i skemës së veçantë në Kosovë për 2 (dy) vite pas periudhës së deklarimit gjatë së cilës personi i tatueshëm është përjashtuar. </w:t>
      </w:r>
    </w:p>
    <w:p w:rsidR="007B521A" w:rsidRPr="009C7A30" w:rsidRDefault="007B521A" w:rsidP="00D330E5">
      <w:pPr>
        <w:numPr>
          <w:ilvl w:val="0"/>
          <w:numId w:val="35"/>
        </w:numPr>
        <w:shd w:val="clear" w:color="auto" w:fill="FFFFFF"/>
        <w:spacing w:before="120" w:after="120" w:line="240" w:lineRule="auto"/>
        <w:ind w:left="36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Një person i tatueshëm konsiderohet se ka dështuar në vazhdimësi për t'iu përmbajtur rregullave që lidhen me skemën e veçantë, sipas kuptimit të nën</w:t>
      </w:r>
      <w:r w:rsidR="009E29D9" w:rsidRPr="009C7A30">
        <w:rPr>
          <w:rFonts w:ascii="Times New Roman" w:eastAsia="Times New Roman" w:hAnsi="Times New Roman" w:cs="Times New Roman"/>
          <w:color w:val="000000" w:themeColor="text1"/>
          <w:sz w:val="24"/>
          <w:szCs w:val="24"/>
        </w:rPr>
        <w:t xml:space="preserve"> </w:t>
      </w:r>
      <w:r w:rsidRPr="009C7A30">
        <w:rPr>
          <w:rFonts w:ascii="Times New Roman" w:eastAsia="Times New Roman" w:hAnsi="Times New Roman" w:cs="Times New Roman"/>
          <w:color w:val="000000" w:themeColor="text1"/>
          <w:sz w:val="24"/>
          <w:szCs w:val="24"/>
        </w:rPr>
        <w:t>paragrafit 1.4., të paragrafit 1, të nenit 15, të paktën si në rastet e shënuara mëposhtë:</w:t>
      </w:r>
    </w:p>
    <w:p w:rsidR="007B521A" w:rsidRPr="009C7A30" w:rsidRDefault="007B521A" w:rsidP="009B28D4">
      <w:pPr>
        <w:shd w:val="clear" w:color="auto" w:fill="FFFFFF"/>
        <w:spacing w:before="120" w:after="120" w:line="240" w:lineRule="auto"/>
        <w:ind w:left="378" w:hanging="9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2.1. kur atij i janë lëshuar rikujtues në bazë të nenit 8 për tre periudha të deklarimit menjëherë pararendëse, si dhe deklarata e TVSH-së nuk është dorëzuar për secilën prej këtyre periudhave të deklarimit brenda 10 (dhjetë) ditëve pas dërgimit të rikujtuesit;</w:t>
      </w:r>
    </w:p>
    <w:p w:rsidR="007B521A" w:rsidRPr="009C7A30" w:rsidRDefault="007B521A" w:rsidP="009B28D4">
      <w:pPr>
        <w:shd w:val="clear" w:color="auto" w:fill="FFFFFF"/>
        <w:tabs>
          <w:tab w:val="left" w:pos="1170"/>
        </w:tabs>
        <w:spacing w:before="120" w:after="120" w:line="240" w:lineRule="auto"/>
        <w:ind w:left="738" w:hanging="45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2.2. kur rikujtuesit sipas nenit 11 i janë lëshuar atij</w:t>
      </w:r>
      <w:r w:rsidR="00D330E5" w:rsidRPr="009C7A30">
        <w:rPr>
          <w:rFonts w:ascii="Times New Roman" w:eastAsia="Times New Roman" w:hAnsi="Times New Roman" w:cs="Times New Roman"/>
          <w:color w:val="000000" w:themeColor="text1"/>
          <w:sz w:val="24"/>
          <w:szCs w:val="24"/>
        </w:rPr>
        <w:t xml:space="preserve"> për tre periudha të deklarimit </w:t>
      </w:r>
      <w:r w:rsidRPr="009C7A30">
        <w:rPr>
          <w:rFonts w:ascii="Times New Roman" w:eastAsia="Times New Roman" w:hAnsi="Times New Roman" w:cs="Times New Roman"/>
          <w:color w:val="000000" w:themeColor="text1"/>
          <w:sz w:val="24"/>
          <w:szCs w:val="24"/>
        </w:rPr>
        <w:t>menjëherë pararendëse, si dhe shuma e plotë e TVSH-së së deklaruar nuk është paguar prej tij për secilën prej këtyre periudhave të deklarimit brenda 10 (dhjetë) ditëve pas dërgimit të rikujtuesit, përveç kur shuma e mbetur e papaguar është më pak se 100 (njëqind) euro për secilën periudhë të deklarimit;</w:t>
      </w:r>
    </w:p>
    <w:p w:rsidR="007B521A" w:rsidRPr="009C7A30" w:rsidRDefault="007B521A" w:rsidP="009B28D4">
      <w:pPr>
        <w:shd w:val="clear" w:color="auto" w:fill="FFFFFF"/>
        <w:spacing w:before="120" w:after="120" w:line="240" w:lineRule="auto"/>
        <w:ind w:left="738" w:hanging="450"/>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2.3. kur pas një kërkese nga ATK-ja dhe një muaj pas rikujtimit të mëpasshëm nga e njëjta, ai nuk ka arritur të vërë në dispozicion në mënyrë elektronike shënimet  e përmendura në nenin 13.</w:t>
      </w:r>
    </w:p>
    <w:p w:rsidR="00D330E5" w:rsidRPr="009C7A30" w:rsidRDefault="00D330E5" w:rsidP="00740633">
      <w:pPr>
        <w:shd w:val="clear" w:color="auto" w:fill="FFFFFF"/>
        <w:spacing w:before="120" w:after="120" w:line="240" w:lineRule="auto"/>
        <w:jc w:val="both"/>
        <w:rPr>
          <w:rFonts w:ascii="Times New Roman" w:eastAsia="Times New Roman" w:hAnsi="Times New Roman" w:cs="Times New Roman"/>
          <w:i/>
          <w:iCs/>
          <w:color w:val="000000" w:themeColor="text1"/>
          <w:sz w:val="24"/>
          <w:szCs w:val="24"/>
        </w:rPr>
      </w:pP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Neni 21</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r w:rsidRPr="009C7A30">
        <w:rPr>
          <w:rFonts w:ascii="Times New Roman" w:eastAsia="MS Mincho" w:hAnsi="Times New Roman" w:cs="Times New Roman"/>
          <w:b/>
          <w:bCs/>
          <w:color w:val="000000" w:themeColor="text1"/>
          <w:sz w:val="24"/>
          <w:szCs w:val="24"/>
        </w:rPr>
        <w:t>Hyrja në fuqi</w:t>
      </w:r>
    </w:p>
    <w:p w:rsidR="00EA258D" w:rsidRPr="009C7A30" w:rsidRDefault="00EA258D" w:rsidP="00EA258D">
      <w:pPr>
        <w:keepNext/>
        <w:jc w:val="both"/>
        <w:outlineLvl w:val="0"/>
        <w:rPr>
          <w:rFonts w:ascii="Times New Roman" w:hAnsi="Times New Roman" w:cs="Times New Roman"/>
          <w:b/>
          <w:color w:val="000000" w:themeColor="text1"/>
          <w:sz w:val="24"/>
          <w:szCs w:val="24"/>
        </w:rPr>
      </w:pPr>
    </w:p>
    <w:p w:rsidR="00EA258D" w:rsidRPr="009C7A30" w:rsidRDefault="00EA258D" w:rsidP="00EA258D">
      <w:pPr>
        <w:jc w:val="both"/>
        <w:rPr>
          <w:rFonts w:ascii="Times New Roman" w:hAnsi="Times New Roman" w:cs="Times New Roman"/>
          <w:color w:val="000000" w:themeColor="text1"/>
          <w:sz w:val="24"/>
          <w:szCs w:val="24"/>
        </w:rPr>
      </w:pPr>
      <w:r w:rsidRPr="009C7A30">
        <w:rPr>
          <w:rFonts w:ascii="Times New Roman" w:hAnsi="Times New Roman" w:cs="Times New Roman"/>
          <w:color w:val="000000" w:themeColor="text1"/>
          <w:sz w:val="24"/>
          <w:szCs w:val="24"/>
        </w:rPr>
        <w:t xml:space="preserve">Ky Udhëzim Administrativ hyn në fuqi </w:t>
      </w:r>
      <w:r w:rsidR="009B15FB" w:rsidRPr="009C7A30">
        <w:rPr>
          <w:rFonts w:ascii="Times New Roman" w:hAnsi="Times New Roman" w:cs="Times New Roman"/>
          <w:color w:val="000000" w:themeColor="text1"/>
          <w:sz w:val="24"/>
          <w:szCs w:val="24"/>
        </w:rPr>
        <w:t xml:space="preserve"> </w:t>
      </w:r>
      <w:r w:rsidR="009B15FB" w:rsidRPr="009C7A30">
        <w:rPr>
          <w:rFonts w:ascii="Times New Roman" w:hAnsi="Times New Roman" w:cs="Times New Roman"/>
          <w:b/>
          <w:color w:val="000000" w:themeColor="text1"/>
          <w:sz w:val="24"/>
          <w:szCs w:val="24"/>
        </w:rPr>
        <w:t>dt.m.v.</w:t>
      </w:r>
    </w:p>
    <w:p w:rsidR="007B521A" w:rsidRPr="009C7A30" w:rsidRDefault="007B521A" w:rsidP="007B521A">
      <w:pPr>
        <w:spacing w:before="120" w:after="120" w:line="240" w:lineRule="auto"/>
        <w:jc w:val="center"/>
        <w:rPr>
          <w:rFonts w:ascii="Times New Roman" w:eastAsia="MS Mincho" w:hAnsi="Times New Roman" w:cs="Times New Roman"/>
          <w:b/>
          <w:bCs/>
          <w:color w:val="000000" w:themeColor="text1"/>
          <w:sz w:val="24"/>
          <w:szCs w:val="24"/>
        </w:rPr>
      </w:pPr>
    </w:p>
    <w:p w:rsidR="007B521A" w:rsidRPr="009C7A30" w:rsidRDefault="007B521A" w:rsidP="007B521A">
      <w:pPr>
        <w:shd w:val="clear" w:color="auto" w:fill="FFFFFF"/>
        <w:spacing w:after="260" w:line="260" w:lineRule="exact"/>
        <w:jc w:val="center"/>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 xml:space="preserve">                                                                                                         Hekuran Murati</w:t>
      </w:r>
    </w:p>
    <w:p w:rsidR="007B521A" w:rsidRPr="009C7A30" w:rsidRDefault="007B521A" w:rsidP="007B521A">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_________________________________</w:t>
      </w:r>
    </w:p>
    <w:p w:rsidR="007B521A" w:rsidRPr="009C7A30" w:rsidRDefault="007B521A" w:rsidP="007B521A">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Ministër i Ministrisë së Financave, Punës dhe Transfereve</w:t>
      </w:r>
    </w:p>
    <w:p w:rsidR="00D330E5" w:rsidRPr="009C7A30" w:rsidRDefault="00740633" w:rsidP="00740633">
      <w:pPr>
        <w:shd w:val="clear" w:color="auto" w:fill="FFFFFF"/>
        <w:spacing w:after="260" w:line="260" w:lineRule="exact"/>
        <w:jc w:val="right"/>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color w:val="000000" w:themeColor="text1"/>
          <w:sz w:val="24"/>
          <w:szCs w:val="24"/>
        </w:rPr>
        <w:t>Datë: ______________</w:t>
      </w:r>
    </w:p>
    <w:p w:rsidR="003E0C57" w:rsidRPr="009C7A30" w:rsidRDefault="003E0C57" w:rsidP="00740633">
      <w:pPr>
        <w:shd w:val="clear" w:color="auto" w:fill="FFFFFF"/>
        <w:spacing w:after="260" w:line="260" w:lineRule="exact"/>
        <w:jc w:val="right"/>
        <w:rPr>
          <w:rFonts w:ascii="Times New Roman" w:eastAsia="Times New Roman" w:hAnsi="Times New Roman" w:cs="Times New Roman"/>
          <w:color w:val="000000" w:themeColor="text1"/>
          <w:sz w:val="24"/>
          <w:szCs w:val="24"/>
        </w:rPr>
      </w:pPr>
    </w:p>
    <w:p w:rsidR="009E29D9" w:rsidRPr="009C7A30" w:rsidRDefault="009E29D9" w:rsidP="00740633">
      <w:pPr>
        <w:shd w:val="clear" w:color="auto" w:fill="FFFFFF"/>
        <w:spacing w:after="260" w:line="260" w:lineRule="exact"/>
        <w:jc w:val="right"/>
        <w:rPr>
          <w:rFonts w:ascii="Times New Roman" w:eastAsia="Times New Roman" w:hAnsi="Times New Roman" w:cs="Times New Roman"/>
          <w:sz w:val="24"/>
          <w:szCs w:val="24"/>
        </w:rPr>
      </w:pPr>
    </w:p>
    <w:p w:rsidR="009E29D9" w:rsidRPr="009C7A30" w:rsidRDefault="009E29D9" w:rsidP="00740633">
      <w:pPr>
        <w:shd w:val="clear" w:color="auto" w:fill="FFFFFF"/>
        <w:spacing w:after="260" w:line="260" w:lineRule="exact"/>
        <w:jc w:val="right"/>
        <w:rPr>
          <w:rFonts w:ascii="Times New Roman" w:eastAsia="Times New Roman" w:hAnsi="Times New Roman" w:cs="Times New Roman"/>
          <w:sz w:val="24"/>
          <w:szCs w:val="24"/>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r w:rsidRPr="009C7A30">
        <w:rPr>
          <w:rFonts w:ascii="Times New Roman" w:eastAsia="Times New Roman" w:hAnsi="Times New Roman" w:cs="Times New Roman"/>
          <w:i/>
          <w:iCs/>
        </w:rPr>
        <w:lastRenderedPageBreak/>
        <w:t>SHTOJCA I</w:t>
      </w: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b/>
          <w:bCs/>
        </w:rPr>
      </w:pPr>
      <w:r w:rsidRPr="009C7A30">
        <w:rPr>
          <w:rFonts w:ascii="Times New Roman" w:eastAsia="Times New Roman" w:hAnsi="Times New Roman" w:cs="Times New Roman"/>
          <w:b/>
          <w:bCs/>
        </w:rPr>
        <w:t>Detajet e identifikimit</w:t>
      </w:r>
    </w:p>
    <w:tbl>
      <w:tblPr>
        <w:tblW w:w="8272"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522"/>
        <w:gridCol w:w="6750"/>
      </w:tblGrid>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Kolona A</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Kolona B</w:t>
            </w:r>
          </w:p>
        </w:tc>
      </w:tr>
      <w:tr w:rsidR="008F0446" w:rsidRPr="009C7A30" w:rsidTr="00531B64">
        <w:trPr>
          <w:trHeight w:val="572"/>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r w:rsidRPr="009C7A30">
              <w:rPr>
                <w:rFonts w:ascii="Times New Roman" w:eastAsia="Times New Roman" w:hAnsi="Times New Roman" w:cs="Times New Roman"/>
                <w:b/>
                <w:bCs/>
              </w:rPr>
              <w:t>Numri i kutisë</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b/>
                <w:bCs/>
              </w:rPr>
            </w:pP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individual identifikues i TVSH-së i ndarë nga ATK-ja</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2</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tatimor kombëtar</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3</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 i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4</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Emri(at) tregtar i kompanisë nëse është i ndryshëm nga emri i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5</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Adresa e plotë postare e kompanisë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6</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Shteti në të cilin personi i tatueshëm ka vendin e tij të biznesit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7</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Adresa elektronike e personit të tatueshëm</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8</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Website –i (et) i personit të tatueshëm</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9</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Emri i kontaktit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10</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 telefonit</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11</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IBAN ose OBAN</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12</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BIC</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13</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Deklarata elektronike se personi i tatueshëm nuk është i vendosur në Kosovë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14</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fillimit të përdorimit të skemës</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15</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kërkesës nga personi i tatueshëm për t'u regjistruar në skemë</w:t>
            </w:r>
          </w:p>
        </w:tc>
      </w:tr>
      <w:tr w:rsidR="008F0446" w:rsidRPr="009C7A30" w:rsidTr="00531B64">
        <w:trPr>
          <w:jc w:val="center"/>
        </w:trPr>
        <w:tc>
          <w:tcPr>
            <w:tcW w:w="152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16</w:t>
            </w:r>
          </w:p>
        </w:tc>
        <w:tc>
          <w:tcPr>
            <w:tcW w:w="675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vendimit për regjistrim nga ATK-ja</w:t>
            </w:r>
          </w:p>
        </w:tc>
      </w:tr>
    </w:tbl>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i/>
          <w:iCs/>
        </w:rPr>
      </w:pPr>
      <w:r w:rsidRPr="009C7A30">
        <w:rPr>
          <w:rFonts w:ascii="Times New Roman" w:eastAsia="Times New Roman" w:hAnsi="Times New Roman" w:cs="Times New Roman"/>
          <w:i/>
          <w:iCs/>
        </w:rPr>
        <w:lastRenderedPageBreak/>
        <w:t>SHTOJCA II</w:t>
      </w:r>
    </w:p>
    <w:p w:rsidR="008F0446" w:rsidRPr="009C7A30" w:rsidRDefault="008F0446" w:rsidP="008F0446">
      <w:pPr>
        <w:shd w:val="clear" w:color="auto" w:fill="FFFFFF"/>
        <w:spacing w:after="260" w:line="260" w:lineRule="exact"/>
        <w:jc w:val="center"/>
        <w:rPr>
          <w:rFonts w:ascii="Times New Roman" w:eastAsia="Times New Roman" w:hAnsi="Times New Roman" w:cs="Times New Roman"/>
          <w:b/>
          <w:bCs/>
        </w:rPr>
      </w:pPr>
      <w:r w:rsidRPr="009C7A30">
        <w:rPr>
          <w:rFonts w:ascii="Times New Roman" w:eastAsia="Times New Roman" w:hAnsi="Times New Roman" w:cs="Times New Roman"/>
          <w:b/>
          <w:bCs/>
        </w:rPr>
        <w:t>Deklaratat e TVSH-së</w:t>
      </w:r>
    </w:p>
    <w:tbl>
      <w:tblPr>
        <w:tblW w:w="8882"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1370"/>
        <w:gridCol w:w="7512"/>
      </w:tblGrid>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b/>
                <w:bCs/>
                <w:i/>
                <w:iCs/>
              </w:rPr>
            </w:pPr>
            <w:r w:rsidRPr="009C7A30">
              <w:rPr>
                <w:rFonts w:ascii="Times New Roman" w:eastAsia="Times New Roman" w:hAnsi="Times New Roman" w:cs="Times New Roman"/>
                <w:b/>
                <w:bCs/>
              </w:rPr>
              <w:t>Pjesa 1: Informacioni i përgjithshëm</w:t>
            </w:r>
          </w:p>
        </w:tc>
      </w:tr>
      <w:tr w:rsidR="008F0446" w:rsidRPr="009C7A30" w:rsidTr="00531B64">
        <w:trPr>
          <w:trHeight w:val="572"/>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 kutisë</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i/>
                <w:iCs/>
              </w:rPr>
              <w:t>Numri unik referues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Numri individual identifikues i TVSH-së i ndarë nga ATK-ja</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2</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Periudha tatimore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3</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Data e fillimit dhe data e përfundimit të periudhës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4</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Valuta</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rPr>
                <w:rFonts w:ascii="Times New Roman" w:eastAsia="Times New Roman" w:hAnsi="Times New Roman" w:cs="Times New Roman"/>
              </w:rPr>
            </w:pPr>
            <w:r w:rsidRPr="009C7A30">
              <w:rPr>
                <w:rFonts w:ascii="Times New Roman" w:eastAsia="Times New Roman" w:hAnsi="Times New Roman" w:cs="Times New Roman"/>
                <w:b/>
                <w:bCs/>
              </w:rPr>
              <w:t>Pjesa 2: Për transaksionet për të cilat kërkohet TVSH-ja</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5</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Kodi i shtetit të Kosovës</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6</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Norma standarde e TVSH-së në Kosovë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7</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Norma e reduktuar e TVSH-së në Kosovë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8</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tatueshme me normë standarde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9</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TVSH-së me normë standarde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10</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tatueshme me normë të reduktuar</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11</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e TVSH-së me normë të reduktuar</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12</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 xml:space="preserve">Shuma totale e pagueshme e TVSH-së </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3: Për transaksionet për të cilat është bërë korrigjimi i TVSH-së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13</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Periudha tatimore</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14</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totale e TVSH-së që rezulton nga korrigjimet e furnizimeve</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4: Bilanci i TVSH-së së detyruar për pagesë</w:t>
            </w:r>
          </w:p>
        </w:tc>
      </w:tr>
      <w:tr w:rsidR="008F0446" w:rsidRPr="009C7A30"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lastRenderedPageBreak/>
              <w:t>15</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rPr>
              <w:t>Shuma totale e TVSH-së së detyruar për pagesë përfshirë korrigjimet e deklaratave të mëparshme (Kutia 12 + Kutia 14)</w:t>
            </w:r>
          </w:p>
        </w:tc>
      </w:tr>
      <w:tr w:rsidR="008F0446" w:rsidRPr="009C7A30" w:rsidTr="00531B64">
        <w:trPr>
          <w:jc w:val="center"/>
        </w:trPr>
        <w:tc>
          <w:tcPr>
            <w:tcW w:w="8882" w:type="dxa"/>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Times New Roman" w:eastAsia="Times New Roman" w:hAnsi="Times New Roman" w:cs="Times New Roman"/>
                <w:b/>
                <w:bCs/>
              </w:rPr>
              <w:t>Pjesa 5: Shuma totale e TVSH-së e detyruar për pagesë</w:t>
            </w:r>
          </w:p>
        </w:tc>
      </w:tr>
      <w:tr w:rsidR="008F0446" w:rsidRPr="00463C8F" w:rsidTr="00531B64">
        <w:trPr>
          <w:jc w:val="center"/>
        </w:trPr>
        <w:tc>
          <w:tcPr>
            <w:tcW w:w="137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rPr>
            </w:pPr>
            <w:r w:rsidRPr="009C7A30">
              <w:rPr>
                <w:rFonts w:ascii="Arial" w:eastAsia="Times New Roman" w:hAnsi="Arial" w:cs="Arial"/>
              </w:rPr>
              <w:t>16</w:t>
            </w:r>
          </w:p>
        </w:tc>
        <w:tc>
          <w:tcPr>
            <w:tcW w:w="751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8F0446" w:rsidRPr="009C7A30" w:rsidRDefault="008F0446" w:rsidP="00531B64">
            <w:pPr>
              <w:spacing w:after="260" w:line="260" w:lineRule="exact"/>
              <w:jc w:val="both"/>
              <w:rPr>
                <w:rFonts w:ascii="Times New Roman" w:eastAsia="Times New Roman" w:hAnsi="Times New Roman" w:cs="Times New Roman"/>
                <w:color w:val="000000" w:themeColor="text1"/>
                <w:sz w:val="24"/>
                <w:szCs w:val="24"/>
              </w:rPr>
            </w:pPr>
            <w:r w:rsidRPr="009C7A30">
              <w:rPr>
                <w:rFonts w:ascii="Times New Roman" w:eastAsia="Times New Roman" w:hAnsi="Times New Roman" w:cs="Times New Roman"/>
              </w:rPr>
              <w:t>Shuma totale e TVSH-së e detyruar për pagesë</w:t>
            </w:r>
          </w:p>
        </w:tc>
      </w:tr>
    </w:tbl>
    <w:p w:rsidR="008F0446" w:rsidRPr="004C6880" w:rsidRDefault="008F0446" w:rsidP="008F0446">
      <w:pPr>
        <w:shd w:val="clear" w:color="auto" w:fill="FFFFFF"/>
        <w:spacing w:after="260" w:line="260" w:lineRule="exact"/>
        <w:rPr>
          <w:rFonts w:ascii="Times New Roman" w:eastAsia="Times New Roman" w:hAnsi="Times New Roman" w:cs="Times New Roman"/>
          <w:b/>
          <w:bCs/>
        </w:rPr>
      </w:pPr>
    </w:p>
    <w:p w:rsidR="00ED78BC" w:rsidRPr="007B521A" w:rsidRDefault="00ED78BC"/>
    <w:sectPr w:rsidR="00ED78BC" w:rsidRPr="007B5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7359A"/>
    <w:multiLevelType w:val="hybridMultilevel"/>
    <w:tmpl w:val="AD18E252"/>
    <w:lvl w:ilvl="0" w:tplc="61543098">
      <w:start w:val="1"/>
      <w:numFmt w:val="decimal"/>
      <w:lvlText w:val="4.%1."/>
      <w:lvlJc w:val="left"/>
      <w:pPr>
        <w:ind w:left="720" w:hanging="360"/>
      </w:pPr>
      <w:rPr>
        <w:rFonts w:hint="default"/>
        <w:color w:val="auto"/>
        <w:sz w:val="22"/>
        <w:szCs w:val="22"/>
      </w:rPr>
    </w:lvl>
    <w:lvl w:ilvl="1" w:tplc="F15AD0F8">
      <w:start w:val="1"/>
      <w:numFmt w:val="decimal"/>
      <w:lvlText w:val="1.%2."/>
      <w:lvlJc w:val="left"/>
      <w:pPr>
        <w:ind w:left="810" w:hanging="360"/>
      </w:pPr>
      <w:rPr>
        <w:rFonts w:hint="default"/>
        <w:color w:val="auto"/>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43C2C"/>
    <w:multiLevelType w:val="hybridMultilevel"/>
    <w:tmpl w:val="5484AB4C"/>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95ADA"/>
    <w:multiLevelType w:val="hybridMultilevel"/>
    <w:tmpl w:val="40405B26"/>
    <w:lvl w:ilvl="0" w:tplc="EA0E9EF6">
      <w:start w:val="1"/>
      <w:numFmt w:val="lowerRoman"/>
      <w:lvlText w:val="%1."/>
      <w:lvlJc w:val="right"/>
      <w:pPr>
        <w:ind w:left="720" w:hanging="360"/>
      </w:pPr>
      <w:rPr>
        <w:rFonts w:ascii="Arial" w:hAnsi="Arial" w:cs="Arial"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81E3C"/>
    <w:multiLevelType w:val="hybridMultilevel"/>
    <w:tmpl w:val="0CE64054"/>
    <w:lvl w:ilvl="0" w:tplc="3678E65E">
      <w:start w:val="1"/>
      <w:numFmt w:val="lowerRoman"/>
      <w:lvlText w:val="%1."/>
      <w:lvlJc w:val="left"/>
      <w:pPr>
        <w:ind w:left="720" w:hanging="360"/>
      </w:pPr>
      <w:rPr>
        <w:rFonts w:hint="default"/>
        <w:b/>
        <w:bCs/>
        <w:color w:val="auto"/>
        <w:sz w:val="22"/>
        <w:szCs w:val="22"/>
      </w:rPr>
    </w:lvl>
    <w:lvl w:ilvl="1" w:tplc="49FE28BC">
      <w:start w:val="1"/>
      <w:numFmt w:val="decimal"/>
      <w:lvlText w:val="%2."/>
      <w:lvlJc w:val="left"/>
      <w:pPr>
        <w:ind w:left="81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400B1"/>
    <w:multiLevelType w:val="hybridMultilevel"/>
    <w:tmpl w:val="512A3E72"/>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B23A8"/>
    <w:multiLevelType w:val="hybridMultilevel"/>
    <w:tmpl w:val="877AD012"/>
    <w:lvl w:ilvl="0" w:tplc="3678E65E">
      <w:start w:val="1"/>
      <w:numFmt w:val="lowerRoman"/>
      <w:lvlText w:val="%1."/>
      <w:lvlJc w:val="left"/>
      <w:pPr>
        <w:ind w:left="1440" w:hanging="360"/>
      </w:pPr>
      <w:rPr>
        <w:rFonts w:hint="default"/>
        <w:b/>
        <w:bCs/>
        <w:color w:val="auto"/>
        <w:sz w:val="22"/>
        <w:szCs w:val="22"/>
      </w:rPr>
    </w:lvl>
    <w:lvl w:ilvl="1" w:tplc="E95CFCDA">
      <w:start w:val="1"/>
      <w:numFmt w:val="decimal"/>
      <w:lvlText w:val="%2."/>
      <w:lvlJc w:val="left"/>
      <w:pPr>
        <w:ind w:left="63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70B1B"/>
    <w:multiLevelType w:val="hybridMultilevel"/>
    <w:tmpl w:val="008A1C2C"/>
    <w:lvl w:ilvl="0" w:tplc="E3D85D8C">
      <w:start w:val="1"/>
      <w:numFmt w:val="decimal"/>
      <w:lvlText w:val="1.%1."/>
      <w:lvlJc w:val="left"/>
      <w:pPr>
        <w:ind w:left="720" w:hanging="360"/>
      </w:pPr>
      <w:rPr>
        <w:rFonts w:hint="default"/>
        <w:color w:val="auto"/>
        <w:sz w:val="16"/>
        <w:szCs w:val="24"/>
      </w:rPr>
    </w:lvl>
    <w:lvl w:ilvl="1" w:tplc="1F462862">
      <w:start w:val="1"/>
      <w:numFmt w:val="decimal"/>
      <w:lvlText w:val="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37F1B"/>
    <w:multiLevelType w:val="hybridMultilevel"/>
    <w:tmpl w:val="D8249FC4"/>
    <w:lvl w:ilvl="0" w:tplc="BFE0664C">
      <w:start w:val="1"/>
      <w:numFmt w:val="decimal"/>
      <w:lvlText w:val="5.6.1.%1."/>
      <w:lvlJc w:val="left"/>
      <w:pPr>
        <w:ind w:left="720" w:hanging="360"/>
      </w:pPr>
      <w:rPr>
        <w:rFonts w:hint="default"/>
        <w:color w:val="auto"/>
        <w:sz w:val="22"/>
        <w:szCs w:val="22"/>
      </w:rPr>
    </w:lvl>
    <w:lvl w:ilvl="1" w:tplc="D15EB44C">
      <w:start w:val="1"/>
      <w:numFmt w:val="lowerRoman"/>
      <w:lvlText w:val="%2."/>
      <w:lvlJc w:val="right"/>
      <w:pPr>
        <w:ind w:left="1170" w:hanging="360"/>
      </w:pPr>
      <w:rPr>
        <w:rFonts w:ascii="Arial" w:hAnsi="Arial" w:cs="Arial" w:hint="default"/>
        <w:b/>
        <w:bCs/>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46B1B"/>
    <w:multiLevelType w:val="hybridMultilevel"/>
    <w:tmpl w:val="73E213EC"/>
    <w:lvl w:ilvl="0" w:tplc="7FDA59E4">
      <w:start w:val="1"/>
      <w:numFmt w:val="decimal"/>
      <w:lvlText w:val="5.6.3.%1."/>
      <w:lvlJc w:val="left"/>
      <w:pPr>
        <w:ind w:left="2160" w:hanging="360"/>
      </w:pPr>
      <w:rPr>
        <w:rFonts w:hint="default"/>
        <w:color w:val="auto"/>
        <w:sz w:val="22"/>
        <w:szCs w:val="22"/>
      </w:rPr>
    </w:lvl>
    <w:lvl w:ilvl="1" w:tplc="EA0E9EF6">
      <w:start w:val="1"/>
      <w:numFmt w:val="lowerRoman"/>
      <w:lvlText w:val="%2."/>
      <w:lvlJc w:val="right"/>
      <w:pPr>
        <w:ind w:left="2880" w:hanging="360"/>
      </w:pPr>
      <w:rPr>
        <w:rFonts w:ascii="Arial" w:hAnsi="Arial" w:cs="Arial" w:hint="default"/>
        <w:color w:val="auto"/>
        <w:sz w:val="20"/>
        <w:szCs w:val="2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9013C5D"/>
    <w:multiLevelType w:val="hybridMultilevel"/>
    <w:tmpl w:val="1BA01DA8"/>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B081E"/>
    <w:multiLevelType w:val="hybridMultilevel"/>
    <w:tmpl w:val="BCA6A0F4"/>
    <w:lvl w:ilvl="0" w:tplc="D0D2BEE2">
      <w:start w:val="1"/>
      <w:numFmt w:val="decimal"/>
      <w:lvlText w:val="5.6.%1."/>
      <w:lvlJc w:val="left"/>
      <w:pPr>
        <w:ind w:left="720" w:hanging="360"/>
      </w:pPr>
      <w:rPr>
        <w:rFonts w:hint="default"/>
        <w:color w:val="auto"/>
        <w:sz w:val="22"/>
        <w:szCs w:val="22"/>
      </w:rPr>
    </w:lvl>
    <w:lvl w:ilvl="1" w:tplc="3678E65E">
      <w:start w:val="1"/>
      <w:numFmt w:val="lowerRoman"/>
      <w:lvlText w:val="%2."/>
      <w:lvlJc w:val="left"/>
      <w:pPr>
        <w:ind w:left="1440" w:hanging="360"/>
      </w:pPr>
      <w:rPr>
        <w:rFonts w:hint="default"/>
        <w:b/>
        <w:bCs/>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B103C"/>
    <w:multiLevelType w:val="hybridMultilevel"/>
    <w:tmpl w:val="BD388C40"/>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504D4"/>
    <w:multiLevelType w:val="hybridMultilevel"/>
    <w:tmpl w:val="232EE8FC"/>
    <w:lvl w:ilvl="0" w:tplc="A606BB0A">
      <w:start w:val="1"/>
      <w:numFmt w:val="decimal"/>
      <w:lvlText w:val="1.6.%1."/>
      <w:lvlJc w:val="left"/>
      <w:pPr>
        <w:ind w:left="1170" w:hanging="360"/>
      </w:pPr>
      <w:rPr>
        <w:rFonts w:hint="default"/>
        <w:color w:val="auto"/>
        <w:sz w:val="24"/>
        <w:szCs w:val="24"/>
      </w:rPr>
    </w:lvl>
    <w:lvl w:ilvl="1" w:tplc="FC025CBA">
      <w:start w:val="1"/>
      <w:numFmt w:val="decimal"/>
      <w:lvlText w:val="%2."/>
      <w:lvlJc w:val="left"/>
      <w:pPr>
        <w:ind w:left="5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4D00DB"/>
    <w:multiLevelType w:val="hybridMultilevel"/>
    <w:tmpl w:val="91DE8F1A"/>
    <w:lvl w:ilvl="0" w:tplc="70E4773A">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3D5B79"/>
    <w:multiLevelType w:val="hybridMultilevel"/>
    <w:tmpl w:val="F56856FA"/>
    <w:lvl w:ilvl="0" w:tplc="C4708CE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85244"/>
    <w:multiLevelType w:val="hybridMultilevel"/>
    <w:tmpl w:val="EB7A5644"/>
    <w:lvl w:ilvl="0" w:tplc="86B2C2AC">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4B2065"/>
    <w:multiLevelType w:val="hybridMultilevel"/>
    <w:tmpl w:val="3EC2174C"/>
    <w:lvl w:ilvl="0" w:tplc="9F1A0E96">
      <w:start w:val="1"/>
      <w:numFmt w:val="decimal"/>
      <w:lvlText w:val="2.%1."/>
      <w:lvlJc w:val="left"/>
      <w:pPr>
        <w:ind w:left="720" w:hanging="360"/>
      </w:pPr>
      <w:rPr>
        <w:rFonts w:hint="default"/>
        <w:color w:val="auto"/>
        <w:sz w:val="16"/>
        <w:szCs w:val="24"/>
      </w:rPr>
    </w:lvl>
    <w:lvl w:ilvl="1" w:tplc="338858D4">
      <w:start w:val="1"/>
      <w:numFmt w:val="decimal"/>
      <w:lvlText w:val="2.%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033A1E"/>
    <w:multiLevelType w:val="hybridMultilevel"/>
    <w:tmpl w:val="92B017A4"/>
    <w:lvl w:ilvl="0" w:tplc="3678E65E">
      <w:start w:val="1"/>
      <w:numFmt w:val="lowerRoman"/>
      <w:lvlText w:val="%1."/>
      <w:lvlJc w:val="left"/>
      <w:pPr>
        <w:ind w:left="144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C6464"/>
    <w:multiLevelType w:val="hybridMultilevel"/>
    <w:tmpl w:val="5F582BE4"/>
    <w:lvl w:ilvl="0" w:tplc="70E4773A">
      <w:start w:val="1"/>
      <w:numFmt w:val="lowerRoman"/>
      <w:lvlText w:val="%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1361DF"/>
    <w:multiLevelType w:val="hybridMultilevel"/>
    <w:tmpl w:val="D814283E"/>
    <w:lvl w:ilvl="0" w:tplc="4F0CC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9729C"/>
    <w:multiLevelType w:val="hybridMultilevel"/>
    <w:tmpl w:val="FF5AD07A"/>
    <w:lvl w:ilvl="0" w:tplc="E3D85D8C">
      <w:start w:val="1"/>
      <w:numFmt w:val="decimal"/>
      <w:lvlText w:val="1.%1."/>
      <w:lvlJc w:val="left"/>
      <w:pPr>
        <w:ind w:left="720" w:hanging="360"/>
      </w:pPr>
      <w:rPr>
        <w:rFonts w:hint="default"/>
        <w:color w:val="auto"/>
        <w:sz w:val="16"/>
        <w:szCs w:val="24"/>
      </w:rPr>
    </w:lvl>
    <w:lvl w:ilvl="1" w:tplc="7A660B08">
      <w:start w:val="1"/>
      <w:numFmt w:val="decimal"/>
      <w:lvlText w:val="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851C0"/>
    <w:multiLevelType w:val="hybridMultilevel"/>
    <w:tmpl w:val="F780A232"/>
    <w:lvl w:ilvl="0" w:tplc="3678E65E">
      <w:start w:val="1"/>
      <w:numFmt w:val="lowerRoman"/>
      <w:lvlText w:val="%1."/>
      <w:lvlJc w:val="left"/>
      <w:pPr>
        <w:ind w:left="720" w:hanging="360"/>
      </w:pPr>
      <w:rPr>
        <w:rFonts w:hint="default"/>
        <w:b/>
        <w:bCs/>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9B17CF"/>
    <w:multiLevelType w:val="hybridMultilevel"/>
    <w:tmpl w:val="D96E01F6"/>
    <w:lvl w:ilvl="0" w:tplc="D59C758E">
      <w:start w:val="1"/>
      <w:numFmt w:val="decimal"/>
      <w:lvlText w:val="%1."/>
      <w:lvlJc w:val="left"/>
      <w:pPr>
        <w:ind w:left="720" w:hanging="360"/>
      </w:pPr>
      <w:rPr>
        <w:rFonts w:hint="default"/>
      </w:rPr>
    </w:lvl>
    <w:lvl w:ilvl="1" w:tplc="75A48C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14046E"/>
    <w:multiLevelType w:val="hybridMultilevel"/>
    <w:tmpl w:val="3D58CE08"/>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50C35"/>
    <w:multiLevelType w:val="hybridMultilevel"/>
    <w:tmpl w:val="67768EDA"/>
    <w:lvl w:ilvl="0" w:tplc="967CA932">
      <w:start w:val="1"/>
      <w:numFmt w:val="decimal"/>
      <w:lvlText w:val="5.6.2.%1."/>
      <w:lvlJc w:val="left"/>
      <w:pPr>
        <w:ind w:left="720" w:hanging="360"/>
      </w:pPr>
      <w:rPr>
        <w:rFonts w:hint="default"/>
        <w:color w:val="auto"/>
        <w:sz w:val="22"/>
        <w:szCs w:val="22"/>
      </w:rPr>
    </w:lvl>
    <w:lvl w:ilvl="1" w:tplc="EA0E9EF6">
      <w:start w:val="1"/>
      <w:numFmt w:val="lowerRoman"/>
      <w:lvlText w:val="%2."/>
      <w:lvlJc w:val="right"/>
      <w:pPr>
        <w:ind w:left="1440" w:hanging="360"/>
      </w:pPr>
      <w:rPr>
        <w:rFonts w:ascii="Arial" w:hAnsi="Arial" w:cs="Arial" w:hint="default"/>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0F2B7A"/>
    <w:multiLevelType w:val="multilevel"/>
    <w:tmpl w:val="6CD800BC"/>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26" w15:restartNumberingAfterBreak="0">
    <w:nsid w:val="5AD02961"/>
    <w:multiLevelType w:val="multilevel"/>
    <w:tmpl w:val="1E5AA490"/>
    <w:lvl w:ilvl="0">
      <w:start w:val="1"/>
      <w:numFmt w:val="decimal"/>
      <w:lvlText w:val="%1."/>
      <w:lvlJc w:val="left"/>
      <w:pPr>
        <w:ind w:left="720" w:hanging="360"/>
      </w:pPr>
      <w:rPr>
        <w:rFonts w:hint="default"/>
        <w:i w:val="0"/>
        <w:iCs w:val="0"/>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0800" w:hanging="1800"/>
      </w:pPr>
      <w:rPr>
        <w:rFonts w:hint="default"/>
      </w:rPr>
    </w:lvl>
  </w:abstractNum>
  <w:abstractNum w:abstractNumId="27" w15:restartNumberingAfterBreak="0">
    <w:nsid w:val="5D8E4A14"/>
    <w:multiLevelType w:val="hybridMultilevel"/>
    <w:tmpl w:val="6D560CF2"/>
    <w:lvl w:ilvl="0" w:tplc="BF8AAF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373CC7"/>
    <w:multiLevelType w:val="hybridMultilevel"/>
    <w:tmpl w:val="B80071B0"/>
    <w:lvl w:ilvl="0" w:tplc="3678E65E">
      <w:start w:val="1"/>
      <w:numFmt w:val="lowerRoman"/>
      <w:lvlText w:val="%1."/>
      <w:lvlJc w:val="left"/>
      <w:pPr>
        <w:ind w:left="720" w:hanging="360"/>
      </w:pPr>
      <w:rPr>
        <w:rFonts w:hint="default"/>
        <w:b/>
        <w:bCs/>
        <w:color w:val="auto"/>
        <w:sz w:val="22"/>
        <w:szCs w:val="22"/>
      </w:rPr>
    </w:lvl>
    <w:lvl w:ilvl="1" w:tplc="0B0E888A">
      <w:start w:val="1"/>
      <w:numFmt w:val="lowerRoman"/>
      <w:lvlText w:val="%2."/>
      <w:lvlJc w:val="left"/>
      <w:pPr>
        <w:ind w:left="1440" w:hanging="360"/>
      </w:pPr>
      <w:rPr>
        <w:rFonts w:hint="default"/>
        <w:b/>
        <w:bCs/>
        <w:i w:val="0"/>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E45D7F"/>
    <w:multiLevelType w:val="hybridMultilevel"/>
    <w:tmpl w:val="E676D76A"/>
    <w:lvl w:ilvl="0" w:tplc="3678E65E">
      <w:start w:val="1"/>
      <w:numFmt w:val="lowerRoman"/>
      <w:lvlText w:val="%1."/>
      <w:lvlJc w:val="left"/>
      <w:pPr>
        <w:ind w:left="1440" w:hanging="360"/>
      </w:pPr>
      <w:rPr>
        <w:rFonts w:hint="default"/>
        <w:b/>
        <w:bCs/>
        <w:color w:val="auto"/>
        <w:sz w:val="22"/>
        <w:szCs w:val="22"/>
      </w:rPr>
    </w:lvl>
    <w:lvl w:ilvl="1" w:tplc="92148B6E">
      <w:start w:val="1"/>
      <w:numFmt w:val="decimal"/>
      <w:lvlText w:val="%2."/>
      <w:lvlJc w:val="left"/>
      <w:pPr>
        <w:ind w:left="360" w:hanging="360"/>
      </w:pPr>
      <w:rPr>
        <w:rFonts w:hint="default"/>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B60ED5"/>
    <w:multiLevelType w:val="hybridMultilevel"/>
    <w:tmpl w:val="644AD4BE"/>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C371BE"/>
    <w:multiLevelType w:val="hybridMultilevel"/>
    <w:tmpl w:val="25E2BD74"/>
    <w:lvl w:ilvl="0" w:tplc="7B20EB42">
      <w:start w:val="1"/>
      <w:numFmt w:val="decimal"/>
      <w:lvlText w:val="4.%1."/>
      <w:lvlJc w:val="left"/>
      <w:pPr>
        <w:ind w:left="720" w:hanging="360"/>
      </w:pPr>
      <w:rPr>
        <w:rFonts w:hint="default"/>
      </w:rPr>
    </w:lvl>
    <w:lvl w:ilvl="1" w:tplc="A8F8A0D2">
      <w:start w:val="1"/>
      <w:numFmt w:val="decimal"/>
      <w:lvlText w:val="2.%2."/>
      <w:lvlJc w:val="left"/>
      <w:pPr>
        <w:ind w:left="360" w:hanging="360"/>
      </w:pPr>
      <w:rPr>
        <w:rFonts w:hint="default"/>
        <w:color w:val="auto"/>
        <w:sz w:val="24"/>
        <w:szCs w:val="24"/>
      </w:rPr>
    </w:lvl>
    <w:lvl w:ilvl="2" w:tplc="039CF6C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497A97"/>
    <w:multiLevelType w:val="hybridMultilevel"/>
    <w:tmpl w:val="902C6CF4"/>
    <w:lvl w:ilvl="0" w:tplc="4F0CCD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0D52EF"/>
    <w:multiLevelType w:val="hybridMultilevel"/>
    <w:tmpl w:val="A8B6CD66"/>
    <w:lvl w:ilvl="0" w:tplc="3678E65E">
      <w:start w:val="1"/>
      <w:numFmt w:val="lowerRoman"/>
      <w:lvlText w:val="%1."/>
      <w:lvlJc w:val="left"/>
      <w:pPr>
        <w:ind w:left="72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DD445A"/>
    <w:multiLevelType w:val="hybridMultilevel"/>
    <w:tmpl w:val="F95E491A"/>
    <w:lvl w:ilvl="0" w:tplc="03F2D958">
      <w:start w:val="1"/>
      <w:numFmt w:val="decimal"/>
      <w:lvlText w:val="2.%1."/>
      <w:lvlJc w:val="left"/>
      <w:pPr>
        <w:ind w:left="144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5870A4"/>
    <w:multiLevelType w:val="hybridMultilevel"/>
    <w:tmpl w:val="552CF024"/>
    <w:lvl w:ilvl="0" w:tplc="3678E65E">
      <w:start w:val="1"/>
      <w:numFmt w:val="lowerRoman"/>
      <w:lvlText w:val="%1."/>
      <w:lvlJc w:val="left"/>
      <w:pPr>
        <w:ind w:left="1440" w:hanging="360"/>
      </w:pPr>
      <w:rPr>
        <w:rFonts w:hint="default"/>
        <w:b/>
        <w:bCs/>
        <w:color w:val="auto"/>
        <w:sz w:val="22"/>
        <w:szCs w:val="22"/>
      </w:rPr>
    </w:lvl>
    <w:lvl w:ilvl="1" w:tplc="51300CF2">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0F75C0"/>
    <w:multiLevelType w:val="hybridMultilevel"/>
    <w:tmpl w:val="40660D38"/>
    <w:lvl w:ilvl="0" w:tplc="743E0996">
      <w:start w:val="1"/>
      <w:numFmt w:val="decimal"/>
      <w:lvlText w:val="5.6.5.%1."/>
      <w:lvlJc w:val="left"/>
      <w:pPr>
        <w:ind w:left="720" w:hanging="360"/>
      </w:pPr>
      <w:rPr>
        <w:rFonts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9E0208"/>
    <w:multiLevelType w:val="hybridMultilevel"/>
    <w:tmpl w:val="FAFC433E"/>
    <w:lvl w:ilvl="0" w:tplc="D0D2BEE2">
      <w:start w:val="1"/>
      <w:numFmt w:val="decimal"/>
      <w:lvlText w:val="5.6.%1."/>
      <w:lvlJc w:val="left"/>
      <w:pPr>
        <w:ind w:left="720" w:hanging="360"/>
      </w:pPr>
      <w:rPr>
        <w:rFonts w:hint="default"/>
        <w:color w:val="auto"/>
        <w:sz w:val="22"/>
        <w:szCs w:val="22"/>
      </w:rPr>
    </w:lvl>
    <w:lvl w:ilvl="1" w:tplc="BFE0664C">
      <w:start w:val="1"/>
      <w:numFmt w:val="decimal"/>
      <w:lvlText w:val="5.6.1.%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F54F27"/>
    <w:multiLevelType w:val="hybridMultilevel"/>
    <w:tmpl w:val="85E644CA"/>
    <w:lvl w:ilvl="0" w:tplc="3678E65E">
      <w:start w:val="1"/>
      <w:numFmt w:val="lowerRoman"/>
      <w:lvlText w:val="%1."/>
      <w:lvlJc w:val="left"/>
      <w:pPr>
        <w:ind w:left="1440" w:hanging="360"/>
      </w:pPr>
      <w:rPr>
        <w:rFonts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9F5436"/>
    <w:multiLevelType w:val="hybridMultilevel"/>
    <w:tmpl w:val="86F27B78"/>
    <w:lvl w:ilvl="0" w:tplc="9F1A0E96">
      <w:start w:val="1"/>
      <w:numFmt w:val="decimal"/>
      <w:lvlText w:val="2.%1."/>
      <w:lvlJc w:val="left"/>
      <w:pPr>
        <w:ind w:left="720" w:hanging="360"/>
      </w:pPr>
      <w:rPr>
        <w:rFonts w:hint="default"/>
        <w:color w:val="auto"/>
        <w:sz w:val="16"/>
        <w:szCs w:val="24"/>
      </w:rPr>
    </w:lvl>
    <w:lvl w:ilvl="1" w:tplc="34C49732">
      <w:start w:val="1"/>
      <w:numFmt w:val="decimal"/>
      <w:lvlText w:val="2.%2."/>
      <w:lvlJc w:val="left"/>
      <w:pPr>
        <w:ind w:left="1440" w:hanging="360"/>
      </w:pPr>
      <w:rPr>
        <w:rFonts w:hint="default"/>
        <w:color w:val="auto"/>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6"/>
  </w:num>
  <w:num w:numId="3">
    <w:abstractNumId w:val="6"/>
  </w:num>
  <w:num w:numId="4">
    <w:abstractNumId w:val="39"/>
  </w:num>
  <w:num w:numId="5">
    <w:abstractNumId w:val="0"/>
  </w:num>
  <w:num w:numId="6">
    <w:abstractNumId w:val="12"/>
  </w:num>
  <w:num w:numId="7">
    <w:abstractNumId w:val="37"/>
  </w:num>
  <w:num w:numId="8">
    <w:abstractNumId w:val="7"/>
  </w:num>
  <w:num w:numId="9">
    <w:abstractNumId w:val="24"/>
  </w:num>
  <w:num w:numId="10">
    <w:abstractNumId w:val="8"/>
  </w:num>
  <w:num w:numId="11">
    <w:abstractNumId w:val="36"/>
  </w:num>
  <w:num w:numId="12">
    <w:abstractNumId w:val="31"/>
  </w:num>
  <w:num w:numId="13">
    <w:abstractNumId w:val="10"/>
  </w:num>
  <w:num w:numId="14">
    <w:abstractNumId w:val="17"/>
  </w:num>
  <w:num w:numId="15">
    <w:abstractNumId w:val="29"/>
  </w:num>
  <w:num w:numId="16">
    <w:abstractNumId w:val="35"/>
  </w:num>
  <w:num w:numId="17">
    <w:abstractNumId w:val="2"/>
  </w:num>
  <w:num w:numId="18">
    <w:abstractNumId w:val="5"/>
  </w:num>
  <w:num w:numId="19">
    <w:abstractNumId w:val="34"/>
  </w:num>
  <w:num w:numId="20">
    <w:abstractNumId w:val="38"/>
  </w:num>
  <w:num w:numId="21">
    <w:abstractNumId w:val="30"/>
  </w:num>
  <w:num w:numId="22">
    <w:abstractNumId w:val="9"/>
  </w:num>
  <w:num w:numId="23">
    <w:abstractNumId w:val="26"/>
  </w:num>
  <w:num w:numId="24">
    <w:abstractNumId w:val="23"/>
  </w:num>
  <w:num w:numId="25">
    <w:abstractNumId w:val="3"/>
  </w:num>
  <w:num w:numId="26">
    <w:abstractNumId w:val="33"/>
  </w:num>
  <w:num w:numId="27">
    <w:abstractNumId w:val="4"/>
  </w:num>
  <w:num w:numId="28">
    <w:abstractNumId w:val="27"/>
  </w:num>
  <w:num w:numId="29">
    <w:abstractNumId w:val="11"/>
  </w:num>
  <w:num w:numId="30">
    <w:abstractNumId w:val="13"/>
  </w:num>
  <w:num w:numId="31">
    <w:abstractNumId w:val="18"/>
  </w:num>
  <w:num w:numId="32">
    <w:abstractNumId w:val="19"/>
  </w:num>
  <w:num w:numId="33">
    <w:abstractNumId w:val="32"/>
  </w:num>
  <w:num w:numId="34">
    <w:abstractNumId w:val="1"/>
  </w:num>
  <w:num w:numId="35">
    <w:abstractNumId w:val="22"/>
  </w:num>
  <w:num w:numId="36">
    <w:abstractNumId w:val="21"/>
  </w:num>
  <w:num w:numId="37">
    <w:abstractNumId w:val="28"/>
  </w:num>
  <w:num w:numId="38">
    <w:abstractNumId w:val="25"/>
  </w:num>
  <w:num w:numId="39">
    <w:abstractNumId w:val="14"/>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21A"/>
    <w:rsid w:val="002267B3"/>
    <w:rsid w:val="003C41EB"/>
    <w:rsid w:val="003E0C57"/>
    <w:rsid w:val="00483F4E"/>
    <w:rsid w:val="005A2A6A"/>
    <w:rsid w:val="00645DBF"/>
    <w:rsid w:val="006E3A5C"/>
    <w:rsid w:val="00740633"/>
    <w:rsid w:val="007B521A"/>
    <w:rsid w:val="00893BD4"/>
    <w:rsid w:val="008F0446"/>
    <w:rsid w:val="009B15FB"/>
    <w:rsid w:val="009B28D4"/>
    <w:rsid w:val="009C7A30"/>
    <w:rsid w:val="009E29D9"/>
    <w:rsid w:val="00BB5453"/>
    <w:rsid w:val="00C66133"/>
    <w:rsid w:val="00CC0DC8"/>
    <w:rsid w:val="00D330E5"/>
    <w:rsid w:val="00DD4F88"/>
    <w:rsid w:val="00E006A4"/>
    <w:rsid w:val="00E17523"/>
    <w:rsid w:val="00E200FF"/>
    <w:rsid w:val="00E80927"/>
    <w:rsid w:val="00EA258D"/>
    <w:rsid w:val="00ED78BC"/>
    <w:rsid w:val="00FC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B76155-7A17-44EA-9DB6-28BAE8A4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B521A"/>
  </w:style>
  <w:style w:type="paragraph" w:styleId="ListParagraph">
    <w:name w:val="List Paragraph"/>
    <w:aliases w:val="Citation List,References,List_Paragraph,Multilevel para_II,List Paragraph1,Resume Title,Paragraph,List Paragraph (numbered (a)),ReferencesCxSpLast,lp1,Colorful List - Accent 12,NumberedParas,Akapit z listą BS,List Paragraph 1,Bullets"/>
    <w:basedOn w:val="Normal"/>
    <w:link w:val="ListParagraphChar"/>
    <w:uiPriority w:val="34"/>
    <w:qFormat/>
    <w:rsid w:val="007B521A"/>
    <w:pPr>
      <w:spacing w:before="240"/>
      <w:ind w:left="720"/>
      <w:contextualSpacing/>
    </w:pPr>
    <w:rPr>
      <w:rFonts w:ascii="Arial" w:eastAsia="Calibri" w:hAnsi="Arial" w:cs="Arial"/>
      <w:lang w:val="en-GB"/>
    </w:rPr>
  </w:style>
  <w:style w:type="character" w:customStyle="1" w:styleId="ListParagraphChar">
    <w:name w:val="List Paragraph Char"/>
    <w:aliases w:val="Citation List Char,References Char,List_Paragraph Char,Multilevel para_II Char,List Paragraph1 Char,Resume Title Char,Paragraph Char,List Paragraph (numbered (a)) Char,ReferencesCxSpLast Char,lp1 Char,Colorful List - Accent 12 Char"/>
    <w:basedOn w:val="DefaultParagraphFont"/>
    <w:link w:val="ListParagraph"/>
    <w:uiPriority w:val="34"/>
    <w:rsid w:val="007B521A"/>
    <w:rPr>
      <w:rFonts w:ascii="Arial" w:eastAsia="Calibri" w:hAnsi="Arial" w:cs="Arial"/>
      <w:lang w:val="en-GB"/>
    </w:rPr>
  </w:style>
  <w:style w:type="character" w:styleId="CommentReference">
    <w:name w:val="annotation reference"/>
    <w:basedOn w:val="DefaultParagraphFont"/>
    <w:uiPriority w:val="99"/>
    <w:semiHidden/>
    <w:unhideWhenUsed/>
    <w:rsid w:val="007B521A"/>
    <w:rPr>
      <w:sz w:val="16"/>
      <w:szCs w:val="16"/>
    </w:rPr>
  </w:style>
  <w:style w:type="paragraph" w:styleId="CommentText">
    <w:name w:val="annotation text"/>
    <w:basedOn w:val="Normal"/>
    <w:link w:val="CommentTextChar"/>
    <w:uiPriority w:val="99"/>
    <w:semiHidden/>
    <w:unhideWhenUsed/>
    <w:rsid w:val="007B521A"/>
    <w:pPr>
      <w:spacing w:line="240" w:lineRule="auto"/>
    </w:pPr>
    <w:rPr>
      <w:rFonts w:eastAsia="MS Mincho"/>
      <w:sz w:val="20"/>
      <w:szCs w:val="20"/>
    </w:rPr>
  </w:style>
  <w:style w:type="character" w:customStyle="1" w:styleId="CommentTextChar">
    <w:name w:val="Comment Text Char"/>
    <w:basedOn w:val="DefaultParagraphFont"/>
    <w:link w:val="CommentText"/>
    <w:uiPriority w:val="99"/>
    <w:semiHidden/>
    <w:rsid w:val="007B521A"/>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7B521A"/>
    <w:rPr>
      <w:b/>
      <w:bCs/>
    </w:rPr>
  </w:style>
  <w:style w:type="character" w:customStyle="1" w:styleId="CommentSubjectChar">
    <w:name w:val="Comment Subject Char"/>
    <w:basedOn w:val="CommentTextChar"/>
    <w:link w:val="CommentSubject"/>
    <w:uiPriority w:val="99"/>
    <w:semiHidden/>
    <w:rsid w:val="007B521A"/>
    <w:rPr>
      <w:rFonts w:eastAsia="MS Mincho"/>
      <w:b/>
      <w:bCs/>
      <w:sz w:val="20"/>
      <w:szCs w:val="20"/>
      <w:lang w:val="sq-AL"/>
    </w:rPr>
  </w:style>
  <w:style w:type="paragraph" w:styleId="BalloonText">
    <w:name w:val="Balloon Text"/>
    <w:basedOn w:val="Normal"/>
    <w:link w:val="BalloonTextChar"/>
    <w:uiPriority w:val="99"/>
    <w:semiHidden/>
    <w:unhideWhenUsed/>
    <w:rsid w:val="007B521A"/>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7B521A"/>
    <w:rPr>
      <w:rFonts w:ascii="Segoe UI" w:eastAsia="MS Mincho" w:hAnsi="Segoe UI" w:cs="Segoe UI"/>
      <w:sz w:val="18"/>
      <w:szCs w:val="18"/>
      <w:lang w:val="sq-AL"/>
    </w:rPr>
  </w:style>
  <w:style w:type="paragraph" w:customStyle="1" w:styleId="title-article-norm">
    <w:name w:val="title-article-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521A"/>
    <w:rPr>
      <w:color w:val="0000FF"/>
      <w:u w:val="single"/>
    </w:rPr>
  </w:style>
  <w:style w:type="character" w:customStyle="1" w:styleId="no-parag">
    <w:name w:val="no-parag"/>
    <w:basedOn w:val="DefaultParagraphFont"/>
    <w:rsid w:val="007B521A"/>
  </w:style>
  <w:style w:type="paragraph" w:styleId="NormalWeb">
    <w:name w:val="Normal (Web)"/>
    <w:basedOn w:val="Normal"/>
    <w:uiPriority w:val="99"/>
    <w:semiHidden/>
    <w:unhideWhenUsed/>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division-1">
    <w:name w:val="title-division-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anded">
    <w:name w:val="expanded"/>
    <w:basedOn w:val="DefaultParagraphFont"/>
    <w:rsid w:val="007B521A"/>
  </w:style>
  <w:style w:type="paragraph" w:customStyle="1" w:styleId="title-division-2">
    <w:name w:val="title-division-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2">
    <w:name w:val="title-annex-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d-column">
    <w:name w:val="hd-column"/>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7B521A"/>
  </w:style>
  <w:style w:type="paragraph" w:customStyle="1" w:styleId="Normal1">
    <w:name w:val="Normal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7B521A"/>
  </w:style>
  <w:style w:type="paragraph" w:customStyle="1" w:styleId="inline-element">
    <w:name w:val="inline-element"/>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7B521A"/>
  </w:style>
  <w:style w:type="paragraph" w:customStyle="1" w:styleId="title-gr-seq-level-2">
    <w:name w:val="title-gr-seq-level-2"/>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rticle-quoted">
    <w:name w:val="title-article-quoted"/>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left">
    <w:name w:val="tbl-left"/>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7B521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521A"/>
    <w:pPr>
      <w:tabs>
        <w:tab w:val="center" w:pos="4536"/>
        <w:tab w:val="right" w:pos="9072"/>
      </w:tabs>
      <w:spacing w:after="0" w:line="240" w:lineRule="auto"/>
    </w:pPr>
    <w:rPr>
      <w:rFonts w:eastAsia="MS Mincho"/>
    </w:rPr>
  </w:style>
  <w:style w:type="character" w:customStyle="1" w:styleId="HeaderChar">
    <w:name w:val="Header Char"/>
    <w:basedOn w:val="DefaultParagraphFont"/>
    <w:link w:val="Header"/>
    <w:uiPriority w:val="99"/>
    <w:rsid w:val="007B521A"/>
    <w:rPr>
      <w:rFonts w:eastAsia="MS Mincho"/>
      <w:lang w:val="sq-AL"/>
    </w:rPr>
  </w:style>
  <w:style w:type="paragraph" w:styleId="Footer">
    <w:name w:val="footer"/>
    <w:basedOn w:val="Normal"/>
    <w:link w:val="FooterChar"/>
    <w:uiPriority w:val="99"/>
    <w:unhideWhenUsed/>
    <w:rsid w:val="007B521A"/>
    <w:pPr>
      <w:tabs>
        <w:tab w:val="center" w:pos="4536"/>
        <w:tab w:val="right" w:pos="9072"/>
      </w:tabs>
      <w:spacing w:after="0" w:line="240" w:lineRule="auto"/>
    </w:pPr>
    <w:rPr>
      <w:rFonts w:eastAsia="MS Mincho"/>
    </w:rPr>
  </w:style>
  <w:style w:type="character" w:customStyle="1" w:styleId="FooterChar">
    <w:name w:val="Footer Char"/>
    <w:basedOn w:val="DefaultParagraphFont"/>
    <w:link w:val="Footer"/>
    <w:uiPriority w:val="99"/>
    <w:rsid w:val="007B521A"/>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F90B6-7EE5-41F5-9A1E-CC05EA6B8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3815</Words>
  <Characters>21747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Ardita Blaku</dc:creator>
  <cp:keywords/>
  <dc:description/>
  <cp:lastModifiedBy>Albiona Godeni</cp:lastModifiedBy>
  <cp:revision>2</cp:revision>
  <dcterms:created xsi:type="dcterms:W3CDTF">2024-03-07T12:16:00Z</dcterms:created>
  <dcterms:modified xsi:type="dcterms:W3CDTF">2024-03-07T12:16:00Z</dcterms:modified>
</cp:coreProperties>
</file>