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217C" w14:textId="1F780861" w:rsidR="0082767A" w:rsidRPr="00837ED3" w:rsidRDefault="00F0135B" w:rsidP="0082767A">
      <w:pPr>
        <w:spacing w:after="0" w:line="240" w:lineRule="auto"/>
        <w:rPr>
          <w:rFonts w:ascii="Times New Roman" w:hAnsi="Times New Roman"/>
          <w:b/>
          <w:bCs/>
          <w:sz w:val="24"/>
          <w:lang w:val="sq-AL"/>
        </w:rPr>
      </w:pPr>
      <w:bookmarkStart w:id="0" w:name="_GoBack"/>
      <w:r w:rsidRPr="00837ED3">
        <w:rPr>
          <w:rFonts w:ascii="Times New Roman" w:eastAsia="Calibri" w:hAnsi="Times New Roman"/>
          <w:sz w:val="32"/>
          <w:szCs w:val="32"/>
          <w:lang w:val="sq-AL"/>
        </w:rPr>
        <w:t xml:space="preserve">                                               </w:t>
      </w:r>
      <w:r w:rsidR="0082767A" w:rsidRPr="00837ED3">
        <w:rPr>
          <w:rFonts w:ascii="Times New Roman" w:hAnsi="Times New Roman"/>
          <w:b/>
          <w:noProof/>
          <w:sz w:val="24"/>
          <w:lang w:val="sq-AL"/>
        </w:rPr>
        <w:drawing>
          <wp:inline distT="0" distB="0" distL="0" distR="0" wp14:anchorId="393EE35D" wp14:editId="3CA5487E">
            <wp:extent cx="1162050" cy="866775"/>
            <wp:effectExtent l="0" t="0" r="0" b="9525"/>
            <wp:docPr id="594" name="Picture 59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24226" w14:textId="77777777" w:rsidR="0082767A" w:rsidRPr="00837ED3" w:rsidRDefault="0082767A" w:rsidP="0082767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sq-AL"/>
        </w:rPr>
      </w:pPr>
      <w:r w:rsidRPr="00837ED3">
        <w:rPr>
          <w:rFonts w:ascii="Times New Roman" w:hAnsi="Times New Roman"/>
          <w:b/>
          <w:bCs/>
          <w:sz w:val="32"/>
          <w:szCs w:val="32"/>
          <w:lang w:val="sq-AL"/>
        </w:rPr>
        <w:t>Republika e Kosovës</w:t>
      </w:r>
    </w:p>
    <w:p w14:paraId="70109D2B" w14:textId="77777777" w:rsidR="0082767A" w:rsidRPr="00837ED3" w:rsidRDefault="0082767A" w:rsidP="0082767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sq-AL"/>
        </w:rPr>
      </w:pPr>
      <w:r w:rsidRPr="00837ED3">
        <w:rPr>
          <w:rFonts w:ascii="Times New Roman" w:hAnsi="Times New Roman"/>
          <w:b/>
          <w:bCs/>
          <w:sz w:val="26"/>
          <w:szCs w:val="26"/>
          <w:lang w:val="sq-AL"/>
        </w:rPr>
        <w:t>Republika Kosova-</w:t>
      </w:r>
      <w:proofErr w:type="spellStart"/>
      <w:r w:rsidRPr="00837ED3">
        <w:rPr>
          <w:rFonts w:ascii="Times New Roman" w:hAnsi="Times New Roman"/>
          <w:b/>
          <w:bCs/>
          <w:sz w:val="26"/>
          <w:szCs w:val="26"/>
          <w:lang w:val="sq-AL"/>
        </w:rPr>
        <w:t>Republic</w:t>
      </w:r>
      <w:proofErr w:type="spellEnd"/>
      <w:r w:rsidRPr="00837ED3">
        <w:rPr>
          <w:rFonts w:ascii="Times New Roman" w:hAnsi="Times New Roman"/>
          <w:b/>
          <w:bCs/>
          <w:sz w:val="26"/>
          <w:szCs w:val="26"/>
          <w:lang w:val="sq-AL"/>
        </w:rPr>
        <w:t xml:space="preserve"> </w:t>
      </w:r>
      <w:proofErr w:type="spellStart"/>
      <w:r w:rsidRPr="00837ED3">
        <w:rPr>
          <w:rFonts w:ascii="Times New Roman" w:hAnsi="Times New Roman"/>
          <w:b/>
          <w:bCs/>
          <w:sz w:val="26"/>
          <w:szCs w:val="26"/>
          <w:lang w:val="sq-AL"/>
        </w:rPr>
        <w:t>of</w:t>
      </w:r>
      <w:proofErr w:type="spellEnd"/>
      <w:r w:rsidRPr="00837ED3">
        <w:rPr>
          <w:rFonts w:ascii="Times New Roman" w:hAnsi="Times New Roman"/>
          <w:b/>
          <w:bCs/>
          <w:sz w:val="26"/>
          <w:szCs w:val="26"/>
          <w:lang w:val="sq-AL"/>
        </w:rPr>
        <w:t xml:space="preserve"> </w:t>
      </w:r>
      <w:proofErr w:type="spellStart"/>
      <w:r w:rsidRPr="00837ED3">
        <w:rPr>
          <w:rFonts w:ascii="Times New Roman" w:hAnsi="Times New Roman"/>
          <w:b/>
          <w:bCs/>
          <w:sz w:val="26"/>
          <w:szCs w:val="26"/>
          <w:lang w:val="sq-AL"/>
        </w:rPr>
        <w:t>Kosovo</w:t>
      </w:r>
      <w:proofErr w:type="spellEnd"/>
    </w:p>
    <w:p w14:paraId="486A7401" w14:textId="77777777" w:rsidR="0082767A" w:rsidRPr="00837ED3" w:rsidRDefault="0082767A" w:rsidP="008276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sq-AL"/>
        </w:rPr>
      </w:pPr>
      <w:r w:rsidRPr="00837ED3">
        <w:rPr>
          <w:rFonts w:ascii="Times New Roman" w:hAnsi="Times New Roman"/>
          <w:b/>
          <w:bCs/>
          <w:sz w:val="24"/>
          <w:lang w:val="sq-AL"/>
        </w:rPr>
        <w:t>Qeveria -</w:t>
      </w:r>
      <w:proofErr w:type="spellStart"/>
      <w:r w:rsidRPr="00837ED3">
        <w:rPr>
          <w:rFonts w:ascii="Times New Roman" w:hAnsi="Times New Roman"/>
          <w:b/>
          <w:bCs/>
          <w:sz w:val="24"/>
          <w:lang w:val="sq-AL"/>
        </w:rPr>
        <w:t>Vlada</w:t>
      </w:r>
      <w:proofErr w:type="spellEnd"/>
      <w:r w:rsidRPr="00837ED3">
        <w:rPr>
          <w:rFonts w:ascii="Times New Roman" w:hAnsi="Times New Roman"/>
          <w:b/>
          <w:bCs/>
          <w:sz w:val="24"/>
          <w:lang w:val="sq-AL"/>
        </w:rPr>
        <w:t xml:space="preserve"> - </w:t>
      </w:r>
      <w:proofErr w:type="spellStart"/>
      <w:r w:rsidRPr="00837ED3">
        <w:rPr>
          <w:rFonts w:ascii="Times New Roman" w:hAnsi="Times New Roman"/>
          <w:b/>
          <w:bCs/>
          <w:sz w:val="24"/>
          <w:lang w:val="sq-AL"/>
        </w:rPr>
        <w:t>Government</w:t>
      </w:r>
      <w:proofErr w:type="spellEnd"/>
    </w:p>
    <w:p w14:paraId="36F12E18" w14:textId="77777777" w:rsidR="0082767A" w:rsidRPr="00837ED3" w:rsidRDefault="0082767A" w:rsidP="0082767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sq-AL"/>
        </w:rPr>
      </w:pPr>
    </w:p>
    <w:p w14:paraId="5D821F7D" w14:textId="77777777" w:rsidR="0082767A" w:rsidRPr="00837ED3" w:rsidRDefault="0082767A" w:rsidP="0082767A">
      <w:pPr>
        <w:spacing w:after="0" w:line="240" w:lineRule="auto"/>
        <w:jc w:val="center"/>
        <w:rPr>
          <w:rFonts w:ascii="Times New Roman" w:hAnsi="Times New Roman"/>
          <w:b/>
          <w:i/>
          <w:sz w:val="24"/>
          <w:lang w:val="sq-AL"/>
        </w:rPr>
      </w:pPr>
      <w:r w:rsidRPr="00837ED3">
        <w:rPr>
          <w:rFonts w:ascii="Times New Roman" w:hAnsi="Times New Roman"/>
          <w:b/>
          <w:i/>
          <w:sz w:val="24"/>
          <w:lang w:val="sq-AL"/>
        </w:rPr>
        <w:t xml:space="preserve">Ministria e Bujqësisë, Pylltarisë dhe Zhvillimit Rural </w:t>
      </w:r>
    </w:p>
    <w:p w14:paraId="63FEF745" w14:textId="77777777" w:rsidR="0082767A" w:rsidRPr="00837ED3" w:rsidRDefault="0082767A" w:rsidP="0082767A">
      <w:pPr>
        <w:spacing w:after="0" w:line="240" w:lineRule="auto"/>
        <w:jc w:val="center"/>
        <w:rPr>
          <w:rFonts w:ascii="Times New Roman" w:hAnsi="Times New Roman"/>
          <w:b/>
          <w:i/>
          <w:sz w:val="24"/>
          <w:lang w:val="sq-AL"/>
        </w:rPr>
      </w:pPr>
      <w:r w:rsidRPr="00837ED3">
        <w:rPr>
          <w:rFonts w:ascii="Times New Roman" w:hAnsi="Times New Roman"/>
          <w:b/>
          <w:i/>
          <w:sz w:val="24"/>
          <w:lang w:val="sq-AL"/>
        </w:rPr>
        <w:t xml:space="preserve"> </w:t>
      </w:r>
      <w:proofErr w:type="spellStart"/>
      <w:r w:rsidRPr="00837ED3">
        <w:rPr>
          <w:rFonts w:ascii="Times New Roman" w:hAnsi="Times New Roman"/>
          <w:b/>
          <w:i/>
          <w:sz w:val="24"/>
          <w:lang w:val="sq-AL"/>
        </w:rPr>
        <w:t>Ministarstvo</w:t>
      </w:r>
      <w:proofErr w:type="spellEnd"/>
      <w:r w:rsidRPr="00837ED3">
        <w:rPr>
          <w:rFonts w:ascii="Times New Roman" w:hAnsi="Times New Roman"/>
          <w:b/>
          <w:i/>
          <w:sz w:val="24"/>
          <w:lang w:val="sq-AL"/>
        </w:rPr>
        <w:t xml:space="preserve"> </w:t>
      </w:r>
      <w:proofErr w:type="spellStart"/>
      <w:r w:rsidRPr="00837ED3">
        <w:rPr>
          <w:rFonts w:ascii="Times New Roman" w:hAnsi="Times New Roman"/>
          <w:b/>
          <w:i/>
          <w:sz w:val="24"/>
          <w:lang w:val="sq-AL"/>
        </w:rPr>
        <w:t>Poljoprivrede</w:t>
      </w:r>
      <w:proofErr w:type="spellEnd"/>
      <w:r w:rsidRPr="00837ED3">
        <w:rPr>
          <w:rFonts w:ascii="Times New Roman" w:hAnsi="Times New Roman"/>
          <w:b/>
          <w:i/>
          <w:sz w:val="24"/>
          <w:lang w:val="sq-AL"/>
        </w:rPr>
        <w:t xml:space="preserve">, </w:t>
      </w:r>
      <w:proofErr w:type="spellStart"/>
      <w:r w:rsidRPr="00837ED3">
        <w:rPr>
          <w:rFonts w:ascii="Times New Roman" w:hAnsi="Times New Roman"/>
          <w:b/>
          <w:i/>
          <w:sz w:val="24"/>
          <w:lang w:val="sq-AL"/>
        </w:rPr>
        <w:t>Šumarstva</w:t>
      </w:r>
      <w:proofErr w:type="spellEnd"/>
      <w:r w:rsidRPr="00837ED3">
        <w:rPr>
          <w:rFonts w:ascii="Times New Roman" w:hAnsi="Times New Roman"/>
          <w:b/>
          <w:i/>
          <w:sz w:val="24"/>
          <w:lang w:val="sq-AL"/>
        </w:rPr>
        <w:t xml:space="preserve"> i </w:t>
      </w:r>
      <w:proofErr w:type="spellStart"/>
      <w:r w:rsidRPr="00837ED3">
        <w:rPr>
          <w:rFonts w:ascii="Times New Roman" w:hAnsi="Times New Roman"/>
          <w:b/>
          <w:i/>
          <w:sz w:val="24"/>
          <w:lang w:val="sq-AL"/>
        </w:rPr>
        <w:t>Ruralnog</w:t>
      </w:r>
      <w:proofErr w:type="spellEnd"/>
      <w:r w:rsidRPr="00837ED3">
        <w:rPr>
          <w:rFonts w:ascii="Times New Roman" w:hAnsi="Times New Roman"/>
          <w:b/>
          <w:i/>
          <w:sz w:val="24"/>
          <w:lang w:val="sq-AL"/>
        </w:rPr>
        <w:t xml:space="preserve"> </w:t>
      </w:r>
      <w:proofErr w:type="spellStart"/>
      <w:r w:rsidRPr="00837ED3">
        <w:rPr>
          <w:rFonts w:ascii="Times New Roman" w:hAnsi="Times New Roman"/>
          <w:b/>
          <w:i/>
          <w:sz w:val="24"/>
          <w:lang w:val="sq-AL"/>
        </w:rPr>
        <w:t>Razvoja</w:t>
      </w:r>
      <w:proofErr w:type="spellEnd"/>
      <w:r w:rsidRPr="00837ED3">
        <w:rPr>
          <w:rFonts w:ascii="Times New Roman" w:hAnsi="Times New Roman"/>
          <w:b/>
          <w:i/>
          <w:sz w:val="24"/>
          <w:lang w:val="sq-AL"/>
        </w:rPr>
        <w:t xml:space="preserve"> - </w:t>
      </w:r>
      <w:proofErr w:type="spellStart"/>
      <w:r w:rsidRPr="00837ED3">
        <w:rPr>
          <w:rFonts w:ascii="Times New Roman" w:hAnsi="Times New Roman"/>
          <w:b/>
          <w:i/>
          <w:sz w:val="24"/>
          <w:lang w:val="sq-AL"/>
        </w:rPr>
        <w:t>Ministry</w:t>
      </w:r>
      <w:proofErr w:type="spellEnd"/>
      <w:r w:rsidRPr="00837ED3">
        <w:rPr>
          <w:rFonts w:ascii="Times New Roman" w:hAnsi="Times New Roman"/>
          <w:b/>
          <w:i/>
          <w:sz w:val="24"/>
          <w:lang w:val="sq-AL"/>
        </w:rPr>
        <w:t xml:space="preserve"> </w:t>
      </w:r>
      <w:proofErr w:type="spellStart"/>
      <w:r w:rsidRPr="00837ED3">
        <w:rPr>
          <w:rFonts w:ascii="Times New Roman" w:hAnsi="Times New Roman"/>
          <w:b/>
          <w:i/>
          <w:sz w:val="24"/>
          <w:lang w:val="sq-AL"/>
        </w:rPr>
        <w:t>of</w:t>
      </w:r>
      <w:proofErr w:type="spellEnd"/>
      <w:r w:rsidRPr="00837ED3">
        <w:rPr>
          <w:rFonts w:ascii="Times New Roman" w:hAnsi="Times New Roman"/>
          <w:b/>
          <w:i/>
          <w:sz w:val="24"/>
          <w:lang w:val="sq-AL"/>
        </w:rPr>
        <w:t xml:space="preserve"> </w:t>
      </w:r>
      <w:proofErr w:type="spellStart"/>
      <w:r w:rsidRPr="00837ED3">
        <w:rPr>
          <w:rFonts w:ascii="Times New Roman" w:hAnsi="Times New Roman"/>
          <w:b/>
          <w:i/>
          <w:sz w:val="24"/>
          <w:lang w:val="sq-AL"/>
        </w:rPr>
        <w:t>Agriculture</w:t>
      </w:r>
      <w:proofErr w:type="spellEnd"/>
      <w:r w:rsidRPr="00837ED3">
        <w:rPr>
          <w:rFonts w:ascii="Times New Roman" w:hAnsi="Times New Roman"/>
          <w:b/>
          <w:i/>
          <w:sz w:val="24"/>
          <w:lang w:val="sq-AL"/>
        </w:rPr>
        <w:t xml:space="preserve">, </w:t>
      </w:r>
      <w:proofErr w:type="spellStart"/>
      <w:r w:rsidRPr="00837ED3">
        <w:rPr>
          <w:rFonts w:ascii="Times New Roman" w:hAnsi="Times New Roman"/>
          <w:b/>
          <w:i/>
          <w:sz w:val="24"/>
          <w:lang w:val="sq-AL"/>
        </w:rPr>
        <w:t>Forestry</w:t>
      </w:r>
      <w:proofErr w:type="spellEnd"/>
      <w:r w:rsidRPr="00837ED3">
        <w:rPr>
          <w:rFonts w:ascii="Times New Roman" w:hAnsi="Times New Roman"/>
          <w:b/>
          <w:i/>
          <w:sz w:val="24"/>
          <w:lang w:val="sq-AL"/>
        </w:rPr>
        <w:t xml:space="preserve"> </w:t>
      </w:r>
      <w:proofErr w:type="spellStart"/>
      <w:r w:rsidRPr="00837ED3">
        <w:rPr>
          <w:rFonts w:ascii="Times New Roman" w:hAnsi="Times New Roman"/>
          <w:b/>
          <w:i/>
          <w:sz w:val="24"/>
          <w:lang w:val="sq-AL"/>
        </w:rPr>
        <w:t>and</w:t>
      </w:r>
      <w:proofErr w:type="spellEnd"/>
      <w:r w:rsidRPr="00837ED3">
        <w:rPr>
          <w:rFonts w:ascii="Times New Roman" w:hAnsi="Times New Roman"/>
          <w:b/>
          <w:i/>
          <w:sz w:val="24"/>
          <w:lang w:val="sq-AL"/>
        </w:rPr>
        <w:t xml:space="preserve"> Rural </w:t>
      </w:r>
      <w:proofErr w:type="spellStart"/>
      <w:r w:rsidRPr="00837ED3">
        <w:rPr>
          <w:rFonts w:ascii="Times New Roman" w:hAnsi="Times New Roman"/>
          <w:b/>
          <w:i/>
          <w:sz w:val="24"/>
          <w:lang w:val="sq-AL"/>
        </w:rPr>
        <w:t>Development</w:t>
      </w:r>
      <w:proofErr w:type="spellEnd"/>
    </w:p>
    <w:p w14:paraId="4760EB61" w14:textId="77777777" w:rsidR="0082767A" w:rsidRPr="00837ED3" w:rsidRDefault="0082767A" w:rsidP="0082767A">
      <w:pPr>
        <w:tabs>
          <w:tab w:val="center" w:pos="6480"/>
        </w:tabs>
        <w:spacing w:after="0" w:line="240" w:lineRule="auto"/>
        <w:rPr>
          <w:rFonts w:ascii="Times New Roman" w:eastAsia="Calibri" w:hAnsi="Times New Roman"/>
          <w:sz w:val="32"/>
          <w:szCs w:val="32"/>
          <w:lang w:val="sq-AL"/>
        </w:rPr>
      </w:pPr>
      <w:r w:rsidRPr="00837ED3">
        <w:rPr>
          <w:rFonts w:ascii="Times New Roman" w:eastAsia="Calibri" w:hAnsi="Times New Roman"/>
          <w:sz w:val="32"/>
          <w:szCs w:val="32"/>
          <w:lang w:val="sq-AL"/>
        </w:rPr>
        <w:t>________________________________________________________</w:t>
      </w:r>
    </w:p>
    <w:p w14:paraId="6C32D5DB" w14:textId="77777777" w:rsidR="0082767A" w:rsidRPr="00837ED3" w:rsidRDefault="0082767A" w:rsidP="0082767A">
      <w:pPr>
        <w:tabs>
          <w:tab w:val="center" w:pos="6480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sq-AL"/>
        </w:rPr>
      </w:pPr>
    </w:p>
    <w:p w14:paraId="162D3201" w14:textId="77531059" w:rsidR="00F0135B" w:rsidRPr="00837ED3" w:rsidRDefault="0082767A" w:rsidP="0082767A">
      <w:pPr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</w:pPr>
      <w:r w:rsidRPr="00837ED3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 xml:space="preserve">RAPORTI NGA PROCESI I KONSULTIMIT </w:t>
      </w:r>
    </w:p>
    <w:p w14:paraId="48A72A6E" w14:textId="77777777" w:rsidR="00F0135B" w:rsidRPr="00837ED3" w:rsidRDefault="00F0135B" w:rsidP="0082767A">
      <w:pPr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</w:pPr>
    </w:p>
    <w:p w14:paraId="1822CE3A" w14:textId="7FA49BAD" w:rsidR="00F0135B" w:rsidRPr="00837ED3" w:rsidRDefault="0082767A" w:rsidP="00F0135B">
      <w:pPr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</w:pPr>
      <w:r w:rsidRPr="00837ED3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>PËR</w:t>
      </w:r>
      <w:r w:rsidR="00F0135B" w:rsidRPr="00837ED3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 xml:space="preserve"> </w:t>
      </w:r>
      <w:r w:rsidR="00EB21CE" w:rsidRPr="00837ED3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>PROJEKT UDHËZIMIN ADMINISTRATIV (MBPZHR) – NR.</w:t>
      </w:r>
      <w:r w:rsidR="00F33F86" w:rsidRPr="00837ED3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>XX</w:t>
      </w:r>
      <w:r w:rsidR="00EB21CE" w:rsidRPr="00837ED3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 xml:space="preserve">2022 </w:t>
      </w:r>
    </w:p>
    <w:p w14:paraId="445E08D5" w14:textId="77777777" w:rsidR="005116D6" w:rsidRPr="00837ED3" w:rsidRDefault="005116D6" w:rsidP="005116D6">
      <w:pPr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837ED3">
        <w:rPr>
          <w:rFonts w:ascii="Times New Roman" w:hAnsi="Times New Roman"/>
          <w:b/>
          <w:bCs/>
          <w:sz w:val="24"/>
          <w:szCs w:val="24"/>
          <w:lang w:val="sq-AL"/>
        </w:rPr>
        <w:t>PËR LUFTIMIN DHE ÇRRËNJOSJEN E SËMUNDJES SË BRUCELOZËS, TUBERKULOZËS DHE LEUKOZËN ENZOOTIKE TË GJEDHIT</w:t>
      </w:r>
    </w:p>
    <w:p w14:paraId="22137BA6" w14:textId="2534B322" w:rsidR="00F33F86" w:rsidRPr="00837ED3" w:rsidRDefault="00F33F86" w:rsidP="00F33F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FF1B56" w14:textId="68F53587" w:rsidR="0082767A" w:rsidRPr="00837ED3" w:rsidRDefault="0082767A" w:rsidP="00F0135B">
      <w:pPr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</w:pPr>
    </w:p>
    <w:p w14:paraId="272CFC78" w14:textId="77777777" w:rsidR="002702B1" w:rsidRPr="00837ED3" w:rsidRDefault="002702B1" w:rsidP="0082767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sq-AL"/>
        </w:rPr>
      </w:pPr>
    </w:p>
    <w:p w14:paraId="6ACC5B1D" w14:textId="44771352" w:rsidR="0082767A" w:rsidRPr="00837ED3" w:rsidRDefault="0082767A" w:rsidP="0082767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sq-AL"/>
        </w:rPr>
      </w:pPr>
      <w:r w:rsidRPr="00837ED3">
        <w:rPr>
          <w:rFonts w:ascii="Times New Roman" w:eastAsia="Calibri" w:hAnsi="Times New Roman"/>
          <w:b/>
          <w:sz w:val="24"/>
          <w:szCs w:val="24"/>
          <w:lang w:val="sq-AL"/>
        </w:rPr>
        <w:t>Hyrja/sfondi</w:t>
      </w:r>
    </w:p>
    <w:p w14:paraId="3CD063EB" w14:textId="77777777" w:rsidR="0082767A" w:rsidRPr="00837ED3" w:rsidRDefault="0082767A" w:rsidP="0082767A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</w:p>
    <w:p w14:paraId="2195F5EE" w14:textId="77777777" w:rsidR="0082767A" w:rsidRPr="00837ED3" w:rsidRDefault="0082767A" w:rsidP="0082767A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</w:p>
    <w:p w14:paraId="7D40A9DE" w14:textId="767E3E59" w:rsidR="00DA7351" w:rsidRPr="00837ED3" w:rsidRDefault="0082767A" w:rsidP="005116D6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837ED3">
        <w:rPr>
          <w:rFonts w:ascii="Times New Roman" w:hAnsi="Times New Roman"/>
          <w:sz w:val="24"/>
          <w:szCs w:val="24"/>
          <w:lang w:val="sq-AL"/>
        </w:rPr>
        <w:t>Ministria e Bujqësisë, Pylltarisë dhe Zhvillimit Rural (MBPZHR) – Departamenti i P</w:t>
      </w:r>
      <w:r w:rsidR="00EB21CE" w:rsidRPr="00837ED3">
        <w:rPr>
          <w:rFonts w:ascii="Times New Roman" w:hAnsi="Times New Roman"/>
          <w:sz w:val="24"/>
          <w:szCs w:val="24"/>
          <w:lang w:val="sq-AL"/>
        </w:rPr>
        <w:t xml:space="preserve">olitikave </w:t>
      </w:r>
      <w:r w:rsidR="0092503D" w:rsidRPr="00837ED3">
        <w:rPr>
          <w:rFonts w:ascii="Times New Roman" w:hAnsi="Times New Roman"/>
          <w:sz w:val="24"/>
          <w:szCs w:val="24"/>
          <w:lang w:val="sq-AL"/>
        </w:rPr>
        <w:t>Bujqësore dhe Tregjeve</w:t>
      </w:r>
      <w:r w:rsidR="00EB21CE" w:rsidRPr="00837ED3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37ED3">
        <w:rPr>
          <w:rFonts w:ascii="Times New Roman" w:hAnsi="Times New Roman"/>
          <w:sz w:val="24"/>
          <w:szCs w:val="24"/>
          <w:lang w:val="sq-AL"/>
        </w:rPr>
        <w:t xml:space="preserve">në cilësinë e Organit Propozues për hartimin </w:t>
      </w:r>
      <w:r w:rsidR="00EB21CE" w:rsidRPr="00837ED3">
        <w:rPr>
          <w:rFonts w:ascii="Times New Roman" w:hAnsi="Times New Roman"/>
          <w:sz w:val="24"/>
          <w:szCs w:val="24"/>
          <w:lang w:val="sq-AL"/>
        </w:rPr>
        <w:t>Projekt Udhëzimit Administrativ (MBPZHR)-</w:t>
      </w:r>
      <w:proofErr w:type="spellStart"/>
      <w:r w:rsidR="00EB21CE" w:rsidRPr="00837ED3">
        <w:rPr>
          <w:rFonts w:ascii="Times New Roman" w:hAnsi="Times New Roman"/>
          <w:sz w:val="24"/>
          <w:szCs w:val="24"/>
          <w:lang w:val="sq-AL"/>
        </w:rPr>
        <w:t>NR.</w:t>
      </w:r>
      <w:r w:rsidR="00F33F86" w:rsidRPr="00837ED3">
        <w:rPr>
          <w:rFonts w:ascii="Times New Roman" w:hAnsi="Times New Roman"/>
          <w:sz w:val="24"/>
          <w:szCs w:val="24"/>
          <w:lang w:val="sq-AL"/>
        </w:rPr>
        <w:t>xx</w:t>
      </w:r>
      <w:proofErr w:type="spellEnd"/>
      <w:r w:rsidR="00EB21CE" w:rsidRPr="00837ED3">
        <w:rPr>
          <w:rFonts w:ascii="Times New Roman" w:hAnsi="Times New Roman"/>
          <w:sz w:val="24"/>
          <w:szCs w:val="24"/>
          <w:lang w:val="sq-AL"/>
        </w:rPr>
        <w:t>/2022</w:t>
      </w:r>
      <w:r w:rsidR="00F0135B" w:rsidRPr="00837ED3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5116D6" w:rsidRPr="00837ED3">
        <w:rPr>
          <w:rFonts w:ascii="Times New Roman" w:hAnsi="Times New Roman"/>
          <w:bCs/>
          <w:sz w:val="24"/>
          <w:szCs w:val="24"/>
          <w:lang w:val="sq-AL"/>
        </w:rPr>
        <w:t xml:space="preserve">për Luftimin dhe Çrrënjosjen e Sëmundjes së Brucelozës, </w:t>
      </w:r>
      <w:proofErr w:type="spellStart"/>
      <w:r w:rsidR="005116D6" w:rsidRPr="00837ED3">
        <w:rPr>
          <w:rFonts w:ascii="Times New Roman" w:hAnsi="Times New Roman"/>
          <w:bCs/>
          <w:sz w:val="24"/>
          <w:szCs w:val="24"/>
          <w:lang w:val="sq-AL"/>
        </w:rPr>
        <w:t>Tuberkulozës</w:t>
      </w:r>
      <w:proofErr w:type="spellEnd"/>
      <w:r w:rsidR="005116D6" w:rsidRPr="00837ED3">
        <w:rPr>
          <w:rFonts w:ascii="Times New Roman" w:hAnsi="Times New Roman"/>
          <w:bCs/>
          <w:sz w:val="24"/>
          <w:szCs w:val="24"/>
          <w:lang w:val="sq-AL"/>
        </w:rPr>
        <w:t xml:space="preserve"> dhe </w:t>
      </w:r>
      <w:proofErr w:type="spellStart"/>
      <w:r w:rsidR="005116D6" w:rsidRPr="00837ED3">
        <w:rPr>
          <w:rFonts w:ascii="Times New Roman" w:hAnsi="Times New Roman"/>
          <w:bCs/>
          <w:sz w:val="24"/>
          <w:szCs w:val="24"/>
          <w:lang w:val="sq-AL"/>
        </w:rPr>
        <w:t>Leukozën</w:t>
      </w:r>
      <w:proofErr w:type="spellEnd"/>
      <w:r w:rsidR="005116D6" w:rsidRPr="00837ED3"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  <w:proofErr w:type="spellStart"/>
      <w:r w:rsidR="005116D6" w:rsidRPr="00837ED3">
        <w:rPr>
          <w:rFonts w:ascii="Times New Roman" w:hAnsi="Times New Roman"/>
          <w:bCs/>
          <w:sz w:val="24"/>
          <w:szCs w:val="24"/>
          <w:lang w:val="sq-AL"/>
        </w:rPr>
        <w:t>Enzootike</w:t>
      </w:r>
      <w:proofErr w:type="spellEnd"/>
      <w:r w:rsidR="005116D6" w:rsidRPr="00837ED3">
        <w:rPr>
          <w:rFonts w:ascii="Times New Roman" w:hAnsi="Times New Roman"/>
          <w:bCs/>
          <w:sz w:val="24"/>
          <w:szCs w:val="24"/>
          <w:lang w:val="sq-AL"/>
        </w:rPr>
        <w:t xml:space="preserve"> të Gjedhit</w:t>
      </w:r>
      <w:r w:rsidR="007F2544" w:rsidRPr="00837ED3">
        <w:rPr>
          <w:rFonts w:ascii="Times New Roman" w:hAnsi="Times New Roman"/>
          <w:bCs/>
          <w:sz w:val="24"/>
          <w:szCs w:val="24"/>
          <w:lang w:val="lv-LV" w:eastAsia="lv-LV"/>
        </w:rPr>
        <w:t xml:space="preserve">, </w:t>
      </w:r>
      <w:r w:rsidRPr="00837ED3">
        <w:rPr>
          <w:rFonts w:ascii="Times New Roman" w:hAnsi="Times New Roman"/>
          <w:sz w:val="24"/>
          <w:szCs w:val="24"/>
          <w:lang w:val="sq-AL"/>
        </w:rPr>
        <w:t xml:space="preserve">ka propozuar hartimin e tij me qëllim që të mundësojë zbatimin e </w:t>
      </w:r>
      <w:r w:rsidR="00B70A5A" w:rsidRPr="00837ED3">
        <w:rPr>
          <w:rFonts w:ascii="Times New Roman" w:hAnsi="Times New Roman"/>
          <w:sz w:val="24"/>
          <w:szCs w:val="24"/>
          <w:lang w:val="sq-AL" w:eastAsia="ja-JP"/>
        </w:rPr>
        <w:t xml:space="preserve">Nenit </w:t>
      </w:r>
      <w:r w:rsidR="00407964" w:rsidRPr="00837ED3">
        <w:rPr>
          <w:rFonts w:ascii="Times New Roman" w:hAnsi="Times New Roman"/>
          <w:sz w:val="24"/>
          <w:szCs w:val="24"/>
          <w:lang w:val="sq-AL"/>
        </w:rPr>
        <w:t xml:space="preserve">65, paragrafi 2,  dhe nenit </w:t>
      </w:r>
      <w:r w:rsidR="005116D6" w:rsidRPr="00837ED3">
        <w:rPr>
          <w:rFonts w:ascii="Times New Roman" w:hAnsi="Times New Roman"/>
          <w:sz w:val="24"/>
          <w:szCs w:val="24"/>
          <w:lang w:val="sq-AL" w:eastAsia="en-GB"/>
        </w:rPr>
        <w:t>8 paragrafi 2 dhe paragrafi 8.5 të Ligjit Nr.2004/21 për Veterinarinë, (Gazeta Zyrtare e Republikës së Kosovës Nr.18/1 Nëntor 2007).</w:t>
      </w:r>
    </w:p>
    <w:p w14:paraId="4938A451" w14:textId="77777777" w:rsidR="008939B0" w:rsidRPr="00837ED3" w:rsidRDefault="008939B0" w:rsidP="008939B0">
      <w:pPr>
        <w:pStyle w:val="NoSpacing"/>
        <w:jc w:val="both"/>
        <w:rPr>
          <w:lang w:val="sq-AL"/>
        </w:rPr>
      </w:pPr>
    </w:p>
    <w:p w14:paraId="122DF9AF" w14:textId="77777777" w:rsidR="005116D6" w:rsidRPr="00837ED3" w:rsidRDefault="0082767A" w:rsidP="005116D6">
      <w:pPr>
        <w:pStyle w:val="NormalWeb"/>
        <w:spacing w:before="0" w:beforeAutospacing="0" w:after="0" w:afterAutospacing="0"/>
        <w:jc w:val="both"/>
        <w:rPr>
          <w:lang w:val="sq-AL"/>
        </w:rPr>
      </w:pPr>
      <w:r w:rsidRPr="00837ED3">
        <w:rPr>
          <w:lang w:val="sq-AL"/>
        </w:rPr>
        <w:t xml:space="preserve">Përmes hartimit të këtij akti </w:t>
      </w:r>
      <w:r w:rsidR="00BD7ACD" w:rsidRPr="00837ED3">
        <w:rPr>
          <w:lang w:val="sq-AL"/>
        </w:rPr>
        <w:t>n</w:t>
      </w:r>
      <w:r w:rsidR="005A1E28" w:rsidRPr="00837ED3">
        <w:rPr>
          <w:lang w:val="sq-AL"/>
        </w:rPr>
        <w:t xml:space="preserve">ën </w:t>
      </w:r>
      <w:r w:rsidRPr="00837ED3">
        <w:rPr>
          <w:lang w:val="sq-AL"/>
        </w:rPr>
        <w:t xml:space="preserve">ligjor është krijuar baza ligjore </w:t>
      </w:r>
      <w:bookmarkStart w:id="1" w:name="_Hlk111703716"/>
      <w:r w:rsidR="00407964" w:rsidRPr="00837ED3">
        <w:rPr>
          <w:lang w:val="sq-AL"/>
        </w:rPr>
        <w:t xml:space="preserve">me te cilën </w:t>
      </w:r>
      <w:r w:rsidR="005116D6" w:rsidRPr="00837ED3">
        <w:rPr>
          <w:lang w:val="sq-AL"/>
        </w:rPr>
        <w:t xml:space="preserve">përcakton rregullat për mbikëqyrjen, programin e çrrënjosjes, dhënien e statusit të lirë nga sëmundja dhe për masat e kontrollit në rast dyshimi dhe konfirmimi të infeksionit me </w:t>
      </w:r>
      <w:proofErr w:type="spellStart"/>
      <w:r w:rsidR="005116D6" w:rsidRPr="00837ED3">
        <w:rPr>
          <w:lang w:val="sq-AL"/>
        </w:rPr>
        <w:t>Brucella</w:t>
      </w:r>
      <w:proofErr w:type="spellEnd"/>
      <w:r w:rsidR="005116D6" w:rsidRPr="00837ED3">
        <w:rPr>
          <w:lang w:val="sq-AL"/>
        </w:rPr>
        <w:t xml:space="preserve"> </w:t>
      </w:r>
      <w:proofErr w:type="spellStart"/>
      <w:r w:rsidR="005116D6" w:rsidRPr="00837ED3">
        <w:rPr>
          <w:lang w:val="sq-AL"/>
        </w:rPr>
        <w:t>abortus</w:t>
      </w:r>
      <w:proofErr w:type="spellEnd"/>
      <w:r w:rsidR="005116D6" w:rsidRPr="00837ED3">
        <w:rPr>
          <w:lang w:val="sq-AL"/>
        </w:rPr>
        <w:t xml:space="preserve">, </w:t>
      </w:r>
      <w:proofErr w:type="spellStart"/>
      <w:r w:rsidR="005116D6" w:rsidRPr="00837ED3">
        <w:rPr>
          <w:lang w:val="sq-AL"/>
        </w:rPr>
        <w:t>Brucella</w:t>
      </w:r>
      <w:proofErr w:type="spellEnd"/>
      <w:r w:rsidR="005116D6" w:rsidRPr="00837ED3">
        <w:rPr>
          <w:lang w:val="sq-AL"/>
        </w:rPr>
        <w:t xml:space="preserve"> </w:t>
      </w:r>
      <w:proofErr w:type="spellStart"/>
      <w:r w:rsidR="005116D6" w:rsidRPr="00837ED3">
        <w:rPr>
          <w:lang w:val="sq-AL"/>
        </w:rPr>
        <w:t>melitensis</w:t>
      </w:r>
      <w:proofErr w:type="spellEnd"/>
      <w:r w:rsidR="005116D6" w:rsidRPr="00837ED3">
        <w:rPr>
          <w:lang w:val="sq-AL"/>
        </w:rPr>
        <w:t xml:space="preserve"> dhe </w:t>
      </w:r>
      <w:proofErr w:type="spellStart"/>
      <w:r w:rsidR="005116D6" w:rsidRPr="00837ED3">
        <w:rPr>
          <w:lang w:val="sq-AL"/>
        </w:rPr>
        <w:t>Brucella</w:t>
      </w:r>
      <w:proofErr w:type="spellEnd"/>
      <w:r w:rsidR="005116D6" w:rsidRPr="00837ED3">
        <w:rPr>
          <w:lang w:val="sq-AL"/>
        </w:rPr>
        <w:t xml:space="preserve"> </w:t>
      </w:r>
      <w:proofErr w:type="spellStart"/>
      <w:r w:rsidR="005116D6" w:rsidRPr="00837ED3">
        <w:rPr>
          <w:lang w:val="sq-AL"/>
        </w:rPr>
        <w:t>suis</w:t>
      </w:r>
      <w:proofErr w:type="spellEnd"/>
      <w:r w:rsidR="005116D6" w:rsidRPr="00837ED3">
        <w:rPr>
          <w:lang w:val="sq-AL"/>
        </w:rPr>
        <w:t xml:space="preserve">, infeksion me kompleksin </w:t>
      </w:r>
      <w:proofErr w:type="spellStart"/>
      <w:r w:rsidR="005116D6" w:rsidRPr="00837ED3">
        <w:rPr>
          <w:lang w:val="sq-AL"/>
        </w:rPr>
        <w:t>Mycobacterium</w:t>
      </w:r>
      <w:proofErr w:type="spellEnd"/>
      <w:r w:rsidR="005116D6" w:rsidRPr="00837ED3">
        <w:rPr>
          <w:lang w:val="sq-AL"/>
        </w:rPr>
        <w:t xml:space="preserve"> </w:t>
      </w:r>
      <w:proofErr w:type="spellStart"/>
      <w:r w:rsidR="005116D6" w:rsidRPr="00837ED3">
        <w:rPr>
          <w:lang w:val="sq-AL"/>
        </w:rPr>
        <w:t>tuberculosis</w:t>
      </w:r>
      <w:proofErr w:type="spellEnd"/>
      <w:r w:rsidR="005116D6" w:rsidRPr="00837ED3">
        <w:rPr>
          <w:lang w:val="sq-AL"/>
        </w:rPr>
        <w:t xml:space="preserve"> në gjedh dhe </w:t>
      </w:r>
      <w:proofErr w:type="spellStart"/>
      <w:r w:rsidR="005116D6" w:rsidRPr="00837ED3">
        <w:rPr>
          <w:lang w:val="sq-AL"/>
        </w:rPr>
        <w:t>Leukozës</w:t>
      </w:r>
      <w:proofErr w:type="spellEnd"/>
      <w:r w:rsidR="005116D6" w:rsidRPr="00837ED3">
        <w:rPr>
          <w:lang w:val="sq-AL"/>
        </w:rPr>
        <w:t xml:space="preserve"> </w:t>
      </w:r>
      <w:proofErr w:type="spellStart"/>
      <w:r w:rsidR="005116D6" w:rsidRPr="00837ED3">
        <w:rPr>
          <w:lang w:val="sq-AL"/>
        </w:rPr>
        <w:t>enzootike</w:t>
      </w:r>
      <w:proofErr w:type="spellEnd"/>
      <w:r w:rsidR="005116D6" w:rsidRPr="00837ED3">
        <w:rPr>
          <w:lang w:val="sq-AL"/>
        </w:rPr>
        <w:t xml:space="preserve"> të gjedhit si dhe kërkesat për shëndetin e kafshëve gjatë lëvizjes së gjedheve brenda territorit të Republikës së Kosovës. </w:t>
      </w:r>
    </w:p>
    <w:p w14:paraId="5D9831B4" w14:textId="124C3F88" w:rsidR="008939B0" w:rsidRPr="00837ED3" w:rsidRDefault="00407964" w:rsidP="00407964">
      <w:pPr>
        <w:jc w:val="both"/>
        <w:rPr>
          <w:rStyle w:val="shorttext"/>
          <w:sz w:val="24"/>
          <w:szCs w:val="24"/>
        </w:rPr>
      </w:pPr>
      <w:r w:rsidRPr="00837ED3">
        <w:rPr>
          <w:rFonts w:ascii="Times New Roman" w:hAnsi="Times New Roman"/>
          <w:sz w:val="24"/>
          <w:szCs w:val="24"/>
          <w:lang w:val="sq-AL"/>
        </w:rPr>
        <w:t>.</w:t>
      </w:r>
      <w:r w:rsidRPr="00837ED3">
        <w:rPr>
          <w:sz w:val="24"/>
          <w:szCs w:val="24"/>
        </w:rPr>
        <w:t xml:space="preserve">  </w:t>
      </w:r>
    </w:p>
    <w:bookmarkEnd w:id="1"/>
    <w:p w14:paraId="33AC771A" w14:textId="45F6AC5F" w:rsidR="005116D6" w:rsidRPr="00837ED3" w:rsidRDefault="0082767A" w:rsidP="005116D6">
      <w:pPr>
        <w:jc w:val="both"/>
        <w:rPr>
          <w:bCs/>
          <w:lang w:val="sq-AL"/>
        </w:rPr>
      </w:pPr>
      <w:r w:rsidRPr="00837ED3">
        <w:rPr>
          <w:rFonts w:ascii="Times New Roman" w:hAnsi="Times New Roman"/>
          <w:sz w:val="24"/>
          <w:szCs w:val="24"/>
          <w:lang w:val="sq-AL"/>
        </w:rPr>
        <w:t>Dispozitat e këtij Projekt</w:t>
      </w:r>
      <w:r w:rsidR="00D1061F" w:rsidRPr="00837ED3">
        <w:rPr>
          <w:rFonts w:ascii="Times New Roman" w:hAnsi="Times New Roman"/>
          <w:sz w:val="24"/>
          <w:szCs w:val="24"/>
          <w:lang w:val="sq-AL"/>
        </w:rPr>
        <w:t xml:space="preserve"> udhëzimi administrativ </w:t>
      </w:r>
      <w:r w:rsidRPr="00837ED3">
        <w:rPr>
          <w:rFonts w:ascii="Times New Roman" w:hAnsi="Times New Roman"/>
          <w:sz w:val="24"/>
          <w:szCs w:val="24"/>
          <w:lang w:val="sq-AL"/>
        </w:rPr>
        <w:t xml:space="preserve">zbatohen </w:t>
      </w:r>
      <w:r w:rsidR="00407964" w:rsidRPr="00837ED3">
        <w:rPr>
          <w:rFonts w:ascii="Times New Roman" w:hAnsi="Times New Roman"/>
          <w:bCs/>
          <w:sz w:val="24"/>
          <w:szCs w:val="24"/>
          <w:lang w:val="sq-AL"/>
        </w:rPr>
        <w:t>për</w:t>
      </w:r>
      <w:r w:rsidR="005116D6" w:rsidRPr="00837ED3">
        <w:rPr>
          <w:bCs/>
          <w:lang w:val="sq-AL"/>
        </w:rPr>
        <w:t xml:space="preserve"> </w:t>
      </w:r>
      <w:r w:rsidR="005116D6" w:rsidRPr="00837ED3">
        <w:rPr>
          <w:rFonts w:ascii="Times New Roman" w:hAnsi="Times New Roman"/>
          <w:bCs/>
          <w:sz w:val="24"/>
          <w:szCs w:val="24"/>
          <w:lang w:val="sq-AL"/>
        </w:rPr>
        <w:t>të gjithë operatorët e ndërmarrjeve që bëjnë mbikëqyrjen e praktikave veterinare të autorizuara nga Agjencia e Ushqimit dhe Veterinarisë dhe njësitë e tyre përkatëse si dhe të gjithë personat tjerë që marrin pjesë në procesin e parandalimit, kontrollit të shëndetit të kafshëve të mbarështuara brenda territorit të Republikës së Kosovës.</w:t>
      </w:r>
    </w:p>
    <w:p w14:paraId="177772AC" w14:textId="3613E106" w:rsidR="008939B0" w:rsidRPr="00837ED3" w:rsidRDefault="00407964" w:rsidP="00407964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837ED3">
        <w:rPr>
          <w:rFonts w:ascii="Times New Roman" w:hAnsi="Times New Roman"/>
          <w:bCs/>
          <w:sz w:val="24"/>
          <w:szCs w:val="24"/>
          <w:lang w:val="sq-AL"/>
        </w:rPr>
        <w:t xml:space="preserve">. </w:t>
      </w:r>
    </w:p>
    <w:p w14:paraId="50915796" w14:textId="22DB7EAC" w:rsidR="0082767A" w:rsidRPr="00837ED3" w:rsidRDefault="0082767A" w:rsidP="00142FB3">
      <w:pPr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837ED3">
        <w:rPr>
          <w:rFonts w:ascii="Times New Roman" w:eastAsia="Calibri" w:hAnsi="Times New Roman"/>
          <w:sz w:val="24"/>
          <w:szCs w:val="24"/>
          <w:lang w:val="sq-AL"/>
        </w:rPr>
        <w:lastRenderedPageBreak/>
        <w:t>Bazuar në Rregulloren nr.09/2011 e Punës së Qeverisë së Republikës së Kosovës, Udhëzimit Administrativ Nr. 03/2013 për Standardet e Hartimit të Akteve Normative, Ministria i ka kaluar hapat si ne vijim të procesit legjislativ si:  formimin e ekipi punues, pjesëmarrjen në disa takime me ekipin punues për hartimin e</w:t>
      </w:r>
      <w:r w:rsidRPr="00837ED3">
        <w:rPr>
          <w:rFonts w:ascii="Times New Roman" w:eastAsia="Calibri" w:hAnsi="Times New Roman"/>
          <w:bCs/>
          <w:sz w:val="24"/>
          <w:szCs w:val="24"/>
          <w:lang w:val="sq-AL"/>
        </w:rPr>
        <w:t xml:space="preserve"> Projekt</w:t>
      </w:r>
      <w:r w:rsidR="00D1061F" w:rsidRPr="00837ED3">
        <w:rPr>
          <w:rFonts w:ascii="Times New Roman" w:eastAsia="Calibri" w:hAnsi="Times New Roman"/>
          <w:bCs/>
          <w:sz w:val="24"/>
          <w:szCs w:val="24"/>
          <w:lang w:val="sq-AL"/>
        </w:rPr>
        <w:t xml:space="preserve"> udhëzimit administrativ</w:t>
      </w:r>
      <w:r w:rsidRPr="00837ED3">
        <w:rPr>
          <w:rFonts w:ascii="Times New Roman" w:eastAsia="Calibri" w:hAnsi="Times New Roman"/>
          <w:bCs/>
          <w:sz w:val="24"/>
          <w:szCs w:val="24"/>
          <w:lang w:val="sq-AL"/>
        </w:rPr>
        <w:t>.</w:t>
      </w:r>
    </w:p>
    <w:p w14:paraId="72D9ECEE" w14:textId="77777777" w:rsidR="0082767A" w:rsidRPr="00837ED3" w:rsidRDefault="0082767A" w:rsidP="0082767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sq-AL"/>
        </w:rPr>
      </w:pPr>
      <w:r w:rsidRPr="00837ED3">
        <w:rPr>
          <w:rFonts w:ascii="Times New Roman" w:eastAsia="Calibri" w:hAnsi="Times New Roman"/>
          <w:b/>
          <w:sz w:val="24"/>
          <w:szCs w:val="24"/>
          <w:lang w:val="sq-AL"/>
        </w:rPr>
        <w:t>Qëllimi dhe fushëveprimi i konsultimit.</w:t>
      </w:r>
    </w:p>
    <w:p w14:paraId="2D6365B1" w14:textId="77777777" w:rsidR="0082767A" w:rsidRPr="00837ED3" w:rsidRDefault="0082767A" w:rsidP="0082767A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</w:p>
    <w:p w14:paraId="5940FB42" w14:textId="089C06B7" w:rsidR="0082767A" w:rsidRPr="00837ED3" w:rsidRDefault="0082767A" w:rsidP="008276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837ED3">
        <w:rPr>
          <w:rFonts w:ascii="Times New Roman" w:eastAsia="Calibri" w:hAnsi="Times New Roman"/>
          <w:sz w:val="24"/>
          <w:szCs w:val="24"/>
          <w:lang w:val="sq-AL"/>
        </w:rPr>
        <w:t xml:space="preserve">Gjatë hartimit të politikave është me rëndësi që të gjithë ata që janë të përfshirë në procesin e konsultimit të jenë të njohur qysh prej fillimit me qëllimin dhe fushëveprimin e këtij Projekt </w:t>
      </w:r>
      <w:r w:rsidR="00D1061F" w:rsidRPr="00837ED3">
        <w:rPr>
          <w:rFonts w:ascii="Times New Roman" w:eastAsia="Calibri" w:hAnsi="Times New Roman"/>
          <w:sz w:val="24"/>
          <w:szCs w:val="24"/>
          <w:lang w:val="sq-AL"/>
        </w:rPr>
        <w:t>udhëzimi administrativ</w:t>
      </w:r>
      <w:r w:rsidRPr="00837ED3">
        <w:rPr>
          <w:rFonts w:ascii="Times New Roman" w:eastAsia="Calibri" w:hAnsi="Times New Roman"/>
          <w:sz w:val="24"/>
          <w:szCs w:val="24"/>
          <w:lang w:val="sq-AL"/>
        </w:rPr>
        <w:t>. Kjo i ndihmon Ministrisë së Bujqësisë, Pylltarisë dhe Zhvillimit Rural për të analizuar gjendjen, identifikimin e problemeve, opsioneve, përgatitjen e rekomandimeve dhe propozimeve nga palët e interesit, për finalizimin e këtij projekt</w:t>
      </w:r>
      <w:r w:rsidR="00FA38B1" w:rsidRPr="00837ED3">
        <w:rPr>
          <w:rFonts w:ascii="Times New Roman" w:eastAsia="Calibri" w:hAnsi="Times New Roman"/>
          <w:sz w:val="24"/>
          <w:szCs w:val="24"/>
          <w:lang w:val="sq-AL"/>
        </w:rPr>
        <w:t xml:space="preserve"> udhëzimi administrativ.</w:t>
      </w:r>
      <w:r w:rsidRPr="00837ED3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</w:p>
    <w:p w14:paraId="2CF40984" w14:textId="77777777" w:rsidR="0082767A" w:rsidRPr="00837ED3" w:rsidRDefault="0082767A" w:rsidP="008276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</w:p>
    <w:p w14:paraId="291DCE11" w14:textId="21AEBA32" w:rsidR="0082767A" w:rsidRPr="00837ED3" w:rsidRDefault="0082767A" w:rsidP="008276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837ED3">
        <w:rPr>
          <w:rFonts w:ascii="Times New Roman" w:eastAsia="Calibri" w:hAnsi="Times New Roman"/>
          <w:sz w:val="24"/>
          <w:szCs w:val="24"/>
          <w:lang w:val="sq-AL"/>
        </w:rPr>
        <w:t>Projekt</w:t>
      </w:r>
      <w:r w:rsidR="00FA38B1" w:rsidRPr="00837ED3">
        <w:rPr>
          <w:rFonts w:ascii="Times New Roman" w:eastAsia="Calibri" w:hAnsi="Times New Roman"/>
          <w:sz w:val="24"/>
          <w:szCs w:val="24"/>
          <w:lang w:val="sq-AL"/>
        </w:rPr>
        <w:t xml:space="preserve"> Udhëzimi Administrativ (MBPZHR) – NR. </w:t>
      </w:r>
      <w:proofErr w:type="spellStart"/>
      <w:r w:rsidR="00AA0B66" w:rsidRPr="00837ED3">
        <w:rPr>
          <w:rFonts w:ascii="Times New Roman" w:eastAsia="Calibri" w:hAnsi="Times New Roman"/>
          <w:sz w:val="24"/>
          <w:szCs w:val="24"/>
          <w:lang w:val="sq-AL"/>
        </w:rPr>
        <w:t>xx</w:t>
      </w:r>
      <w:proofErr w:type="spellEnd"/>
      <w:r w:rsidR="00FA38B1" w:rsidRPr="00837ED3">
        <w:rPr>
          <w:rFonts w:ascii="Times New Roman" w:eastAsia="Calibri" w:hAnsi="Times New Roman"/>
          <w:sz w:val="24"/>
          <w:szCs w:val="24"/>
          <w:lang w:val="sq-AL"/>
        </w:rPr>
        <w:t xml:space="preserve">/2022 </w:t>
      </w:r>
      <w:r w:rsidR="005116D6" w:rsidRPr="00837ED3">
        <w:rPr>
          <w:rFonts w:ascii="Times New Roman" w:hAnsi="Times New Roman"/>
          <w:bCs/>
          <w:sz w:val="24"/>
          <w:szCs w:val="24"/>
          <w:lang w:val="sq-AL"/>
        </w:rPr>
        <w:t xml:space="preserve">për Luftimin dhe Çrrënjosjen e Sëmundjes së Brucelozës, </w:t>
      </w:r>
      <w:proofErr w:type="spellStart"/>
      <w:r w:rsidR="005116D6" w:rsidRPr="00837ED3">
        <w:rPr>
          <w:rFonts w:ascii="Times New Roman" w:hAnsi="Times New Roman"/>
          <w:bCs/>
          <w:sz w:val="24"/>
          <w:szCs w:val="24"/>
          <w:lang w:val="sq-AL"/>
        </w:rPr>
        <w:t>Tuberkulozës</w:t>
      </w:r>
      <w:proofErr w:type="spellEnd"/>
      <w:r w:rsidR="005116D6" w:rsidRPr="00837ED3">
        <w:rPr>
          <w:rFonts w:ascii="Times New Roman" w:hAnsi="Times New Roman"/>
          <w:bCs/>
          <w:sz w:val="24"/>
          <w:szCs w:val="24"/>
          <w:lang w:val="sq-AL"/>
        </w:rPr>
        <w:t xml:space="preserve"> dhe </w:t>
      </w:r>
      <w:proofErr w:type="spellStart"/>
      <w:r w:rsidR="005116D6" w:rsidRPr="00837ED3">
        <w:rPr>
          <w:rFonts w:ascii="Times New Roman" w:hAnsi="Times New Roman"/>
          <w:bCs/>
          <w:sz w:val="24"/>
          <w:szCs w:val="24"/>
          <w:lang w:val="sq-AL"/>
        </w:rPr>
        <w:t>Leukozën</w:t>
      </w:r>
      <w:proofErr w:type="spellEnd"/>
      <w:r w:rsidR="005116D6" w:rsidRPr="00837ED3"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  <w:proofErr w:type="spellStart"/>
      <w:r w:rsidR="005116D6" w:rsidRPr="00837ED3">
        <w:rPr>
          <w:rFonts w:ascii="Times New Roman" w:hAnsi="Times New Roman"/>
          <w:bCs/>
          <w:sz w:val="24"/>
          <w:szCs w:val="24"/>
          <w:lang w:val="sq-AL"/>
        </w:rPr>
        <w:t>Enzootike</w:t>
      </w:r>
      <w:proofErr w:type="spellEnd"/>
      <w:r w:rsidR="005116D6" w:rsidRPr="00837ED3">
        <w:rPr>
          <w:rFonts w:ascii="Times New Roman" w:hAnsi="Times New Roman"/>
          <w:bCs/>
          <w:sz w:val="24"/>
          <w:szCs w:val="24"/>
          <w:lang w:val="sq-AL"/>
        </w:rPr>
        <w:t xml:space="preserve"> të Gjedhit</w:t>
      </w:r>
      <w:r w:rsidR="00EF37E9" w:rsidRPr="00837ED3">
        <w:rPr>
          <w:rFonts w:ascii="Times New Roman" w:hAnsi="Times New Roman"/>
          <w:bCs/>
          <w:sz w:val="24"/>
          <w:szCs w:val="24"/>
          <w:lang w:val="lv-LV" w:eastAsia="lv-LV"/>
        </w:rPr>
        <w:t>,</w:t>
      </w:r>
      <w:r w:rsidR="00B70A5A" w:rsidRPr="00837ED3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r w:rsidRPr="00837ED3">
        <w:rPr>
          <w:rFonts w:ascii="Times New Roman" w:eastAsia="Calibri" w:hAnsi="Times New Roman"/>
          <w:sz w:val="24"/>
          <w:szCs w:val="24"/>
          <w:lang w:val="sq-AL"/>
        </w:rPr>
        <w:t>është paraparë me P</w:t>
      </w:r>
      <w:r w:rsidR="00FA38B1" w:rsidRPr="00837ED3">
        <w:rPr>
          <w:rFonts w:ascii="Times New Roman" w:eastAsia="Calibri" w:hAnsi="Times New Roman"/>
          <w:sz w:val="24"/>
          <w:szCs w:val="24"/>
          <w:lang w:val="sq-AL"/>
        </w:rPr>
        <w:t xml:space="preserve">lanin Legjislativ </w:t>
      </w:r>
      <w:r w:rsidRPr="00837ED3">
        <w:rPr>
          <w:rFonts w:ascii="Times New Roman" w:eastAsia="Calibri" w:hAnsi="Times New Roman"/>
          <w:sz w:val="24"/>
          <w:szCs w:val="24"/>
          <w:lang w:val="sq-AL"/>
        </w:rPr>
        <w:t xml:space="preserve">të </w:t>
      </w:r>
      <w:r w:rsidR="00FA38B1" w:rsidRPr="00837ED3">
        <w:rPr>
          <w:rFonts w:ascii="Times New Roman" w:eastAsia="Calibri" w:hAnsi="Times New Roman"/>
          <w:sz w:val="24"/>
          <w:szCs w:val="24"/>
          <w:lang w:val="sq-AL"/>
        </w:rPr>
        <w:t xml:space="preserve">Ministrisë së Bujqësisë, Pylltarisë dhe Zhvillimit te Rural </w:t>
      </w:r>
      <w:r w:rsidRPr="00837ED3">
        <w:rPr>
          <w:rFonts w:ascii="Times New Roman" w:eastAsia="Calibri" w:hAnsi="Times New Roman"/>
          <w:sz w:val="24"/>
          <w:szCs w:val="24"/>
          <w:lang w:val="sq-AL"/>
        </w:rPr>
        <w:t>për vitin 2022.</w:t>
      </w:r>
    </w:p>
    <w:p w14:paraId="77773618" w14:textId="77777777" w:rsidR="0082767A" w:rsidRPr="00837ED3" w:rsidRDefault="0082767A" w:rsidP="008276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837ED3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</w:p>
    <w:p w14:paraId="33632158" w14:textId="77777777" w:rsidR="0082767A" w:rsidRPr="00837ED3" w:rsidRDefault="0082767A" w:rsidP="0082767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sq-AL"/>
        </w:rPr>
      </w:pPr>
      <w:r w:rsidRPr="00837ED3">
        <w:rPr>
          <w:rFonts w:ascii="Times New Roman" w:eastAsia="Calibri" w:hAnsi="Times New Roman"/>
          <w:b/>
          <w:sz w:val="24"/>
          <w:szCs w:val="24"/>
          <w:lang w:val="sq-AL"/>
        </w:rPr>
        <w:t>Ecuria e procesit të konsultimit</w:t>
      </w:r>
    </w:p>
    <w:p w14:paraId="7D02F2B9" w14:textId="77777777" w:rsidR="0082767A" w:rsidRPr="00837ED3" w:rsidRDefault="0082767A" w:rsidP="0082767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sq-AL"/>
        </w:rPr>
      </w:pPr>
    </w:p>
    <w:p w14:paraId="7526A787" w14:textId="596AFE35" w:rsidR="0082767A" w:rsidRPr="00837ED3" w:rsidRDefault="0082767A" w:rsidP="008276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837ED3">
        <w:rPr>
          <w:rFonts w:ascii="Times New Roman" w:eastAsia="Calibri" w:hAnsi="Times New Roman"/>
          <w:sz w:val="24"/>
          <w:szCs w:val="24"/>
          <w:lang w:val="sq-AL"/>
        </w:rPr>
        <w:t xml:space="preserve">Duke pasur parasysh se procesi i konsultimeve është realizuar dhe zhvilluar sipas rregullave dhe procedurave të përcaktuara në Rregulloren për Punën e Qeverisë nr. 09/2011, Rregulloren Nr. 05/2016 për standardet minimale për procesin e konsultimit publik, Ministria e Bujqësisë, Pylltarisë dhe Zhvillimit Rural (MBPZHR), si organ propozues i këtij akti </w:t>
      </w:r>
      <w:r w:rsidR="008C6544" w:rsidRPr="00837ED3">
        <w:rPr>
          <w:rFonts w:ascii="Times New Roman" w:eastAsia="Calibri" w:hAnsi="Times New Roman"/>
          <w:sz w:val="24"/>
          <w:szCs w:val="24"/>
          <w:lang w:val="sq-AL"/>
        </w:rPr>
        <w:t xml:space="preserve">nën </w:t>
      </w:r>
      <w:r w:rsidRPr="00837ED3">
        <w:rPr>
          <w:rFonts w:ascii="Times New Roman" w:eastAsia="Calibri" w:hAnsi="Times New Roman"/>
          <w:sz w:val="24"/>
          <w:szCs w:val="24"/>
          <w:lang w:val="sq-AL"/>
        </w:rPr>
        <w:t>ligjor ka zhvilluar procesin e konsultimeve paraprake dhe publike në të cilën periudhë e ka dërguar në Konsultim tek të gjitha institucionet përkatëse dhe shoqatat relevante, që t’ju ofrojë informata për publikun e në veçanti për grupet e interesit me qëllim të merret mendimi i publikut dhe grupeve të interesit rreth hartimit të këtij Projekt</w:t>
      </w:r>
      <w:r w:rsidR="00FA38B1" w:rsidRPr="00837ED3">
        <w:rPr>
          <w:rFonts w:ascii="Times New Roman" w:eastAsia="Calibri" w:hAnsi="Times New Roman"/>
          <w:sz w:val="24"/>
          <w:szCs w:val="24"/>
          <w:lang w:val="sq-AL"/>
        </w:rPr>
        <w:t xml:space="preserve"> udhëzimi administrativ. </w:t>
      </w:r>
    </w:p>
    <w:p w14:paraId="66F5DDDA" w14:textId="77777777" w:rsidR="0082767A" w:rsidRPr="00837ED3" w:rsidRDefault="0082767A" w:rsidP="0082767A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</w:p>
    <w:p w14:paraId="014CDF1F" w14:textId="1E2C61FD" w:rsidR="0082767A" w:rsidRPr="00837ED3" w:rsidRDefault="0082767A" w:rsidP="008276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837ED3">
        <w:rPr>
          <w:rFonts w:ascii="Times New Roman" w:eastAsia="Calibri" w:hAnsi="Times New Roman"/>
          <w:sz w:val="24"/>
          <w:szCs w:val="24"/>
          <w:lang w:val="sq-AL"/>
        </w:rPr>
        <w:t>Gjatë kësaj periudhe lidhur me këtë Projekt</w:t>
      </w:r>
      <w:r w:rsidR="00FA38B1" w:rsidRPr="00837ED3">
        <w:rPr>
          <w:rFonts w:ascii="Times New Roman" w:eastAsia="Calibri" w:hAnsi="Times New Roman"/>
          <w:sz w:val="24"/>
          <w:szCs w:val="24"/>
          <w:lang w:val="sq-AL"/>
        </w:rPr>
        <w:t xml:space="preserve"> udhëzimi administrativ</w:t>
      </w:r>
      <w:r w:rsidRPr="00837ED3">
        <w:rPr>
          <w:rFonts w:ascii="Times New Roman" w:eastAsia="Calibri" w:hAnsi="Times New Roman"/>
          <w:sz w:val="24"/>
          <w:szCs w:val="24"/>
          <w:lang w:val="sq-AL"/>
        </w:rPr>
        <w:t xml:space="preserve"> kemi pranuar komente nga palët e interesit në lidhje me materien, përmbajtjen, detyrimet e palëve të cilat do të përfshihen në zbatimin e këtyre dispozitave. </w:t>
      </w:r>
    </w:p>
    <w:p w14:paraId="7D186374" w14:textId="77777777" w:rsidR="0082767A" w:rsidRPr="00837ED3" w:rsidRDefault="0082767A" w:rsidP="008276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</w:p>
    <w:p w14:paraId="2BAC4604" w14:textId="77777777" w:rsidR="0082767A" w:rsidRPr="00837ED3" w:rsidRDefault="0082767A" w:rsidP="008276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837ED3">
        <w:rPr>
          <w:rFonts w:ascii="Times New Roman" w:eastAsia="Calibri" w:hAnsi="Times New Roman"/>
          <w:sz w:val="24"/>
          <w:szCs w:val="24"/>
          <w:lang w:val="sq-AL"/>
        </w:rPr>
        <w:t xml:space="preserve">Kohëzgjatja e procesit të konsultimit të dokumentit në fjalë, është bërë </w:t>
      </w:r>
      <w:proofErr w:type="spellStart"/>
      <w:r w:rsidRPr="00837ED3">
        <w:rPr>
          <w:rFonts w:ascii="Times New Roman" w:eastAsia="Calibri" w:hAnsi="Times New Roman"/>
          <w:sz w:val="24"/>
          <w:szCs w:val="24"/>
          <w:lang w:val="sq-AL"/>
        </w:rPr>
        <w:t>konform</w:t>
      </w:r>
      <w:proofErr w:type="spellEnd"/>
      <w:r w:rsidRPr="00837ED3">
        <w:rPr>
          <w:rFonts w:ascii="Times New Roman" w:eastAsia="Calibri" w:hAnsi="Times New Roman"/>
          <w:sz w:val="24"/>
          <w:szCs w:val="24"/>
          <w:lang w:val="sq-AL"/>
        </w:rPr>
        <w:t xml:space="preserve"> nenit 7 dhe 32 Rregullores nr. 09/2011për Punën e Qeverisë së Republikës së Kosovës.</w:t>
      </w:r>
    </w:p>
    <w:p w14:paraId="0B06C3A0" w14:textId="77777777" w:rsidR="0082767A" w:rsidRPr="00837ED3" w:rsidRDefault="0082767A" w:rsidP="008276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</w:p>
    <w:p w14:paraId="1D8B7F22" w14:textId="2DA13E6F" w:rsidR="0082767A" w:rsidRPr="00837ED3" w:rsidRDefault="00FA38B1" w:rsidP="008276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837ED3">
        <w:rPr>
          <w:rFonts w:ascii="Times New Roman" w:eastAsia="Calibri" w:hAnsi="Times New Roman"/>
          <w:sz w:val="24"/>
          <w:szCs w:val="24"/>
          <w:lang w:val="sq-AL"/>
        </w:rPr>
        <w:t xml:space="preserve">Projekt Udhëzimi Administrativ (MBPZHR) – NR. </w:t>
      </w:r>
      <w:proofErr w:type="spellStart"/>
      <w:r w:rsidR="00AA0B66" w:rsidRPr="00837ED3">
        <w:rPr>
          <w:rFonts w:ascii="Times New Roman" w:eastAsia="Calibri" w:hAnsi="Times New Roman"/>
          <w:sz w:val="24"/>
          <w:szCs w:val="24"/>
          <w:lang w:val="sq-AL"/>
        </w:rPr>
        <w:t>xx</w:t>
      </w:r>
      <w:proofErr w:type="spellEnd"/>
      <w:r w:rsidRPr="00837ED3">
        <w:rPr>
          <w:rFonts w:ascii="Times New Roman" w:eastAsia="Calibri" w:hAnsi="Times New Roman"/>
          <w:sz w:val="24"/>
          <w:szCs w:val="24"/>
          <w:lang w:val="sq-AL"/>
        </w:rPr>
        <w:t xml:space="preserve">/2022 </w:t>
      </w:r>
      <w:r w:rsidR="005116D6" w:rsidRPr="00837ED3">
        <w:rPr>
          <w:rFonts w:ascii="Times New Roman" w:hAnsi="Times New Roman"/>
          <w:bCs/>
          <w:sz w:val="24"/>
          <w:szCs w:val="24"/>
          <w:lang w:val="sq-AL"/>
        </w:rPr>
        <w:t xml:space="preserve">për Luftimin dhe Çrrënjosjen e Sëmundjes së Brucelozës, </w:t>
      </w:r>
      <w:proofErr w:type="spellStart"/>
      <w:r w:rsidR="005116D6" w:rsidRPr="00837ED3">
        <w:rPr>
          <w:rFonts w:ascii="Times New Roman" w:hAnsi="Times New Roman"/>
          <w:bCs/>
          <w:sz w:val="24"/>
          <w:szCs w:val="24"/>
          <w:lang w:val="sq-AL"/>
        </w:rPr>
        <w:t>Tuberkulozës</w:t>
      </w:r>
      <w:proofErr w:type="spellEnd"/>
      <w:r w:rsidR="005116D6" w:rsidRPr="00837ED3">
        <w:rPr>
          <w:rFonts w:ascii="Times New Roman" w:hAnsi="Times New Roman"/>
          <w:bCs/>
          <w:sz w:val="24"/>
          <w:szCs w:val="24"/>
          <w:lang w:val="sq-AL"/>
        </w:rPr>
        <w:t xml:space="preserve"> dhe </w:t>
      </w:r>
      <w:proofErr w:type="spellStart"/>
      <w:r w:rsidR="005116D6" w:rsidRPr="00837ED3">
        <w:rPr>
          <w:rFonts w:ascii="Times New Roman" w:hAnsi="Times New Roman"/>
          <w:bCs/>
          <w:sz w:val="24"/>
          <w:szCs w:val="24"/>
          <w:lang w:val="sq-AL"/>
        </w:rPr>
        <w:t>Leukozën</w:t>
      </w:r>
      <w:proofErr w:type="spellEnd"/>
      <w:r w:rsidR="005116D6" w:rsidRPr="00837ED3"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  <w:proofErr w:type="spellStart"/>
      <w:r w:rsidR="005116D6" w:rsidRPr="00837ED3">
        <w:rPr>
          <w:rFonts w:ascii="Times New Roman" w:hAnsi="Times New Roman"/>
          <w:bCs/>
          <w:sz w:val="24"/>
          <w:szCs w:val="24"/>
          <w:lang w:val="sq-AL"/>
        </w:rPr>
        <w:t>Enzootike</w:t>
      </w:r>
      <w:proofErr w:type="spellEnd"/>
      <w:r w:rsidR="005116D6" w:rsidRPr="00837ED3">
        <w:rPr>
          <w:rFonts w:ascii="Times New Roman" w:hAnsi="Times New Roman"/>
          <w:bCs/>
          <w:sz w:val="24"/>
          <w:szCs w:val="24"/>
          <w:lang w:val="sq-AL"/>
        </w:rPr>
        <w:t xml:space="preserve"> të Gjedhit</w:t>
      </w:r>
      <w:r w:rsidR="00EF37E9" w:rsidRPr="00837ED3">
        <w:rPr>
          <w:rFonts w:ascii="Times New Roman" w:hAnsi="Times New Roman"/>
          <w:bCs/>
          <w:sz w:val="24"/>
          <w:szCs w:val="24"/>
          <w:lang w:val="lv-LV" w:eastAsia="lv-LV"/>
        </w:rPr>
        <w:t>,</w:t>
      </w:r>
      <w:r w:rsidR="00B70A5A" w:rsidRPr="00837ED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2767A" w:rsidRPr="00837ED3">
        <w:rPr>
          <w:rFonts w:ascii="Times New Roman" w:eastAsia="Calibri" w:hAnsi="Times New Roman"/>
          <w:sz w:val="24"/>
          <w:szCs w:val="24"/>
          <w:lang w:val="sq-AL"/>
        </w:rPr>
        <w:t>është publikuar ne Platformën e Konsultimit Publik së bashku me Dokumentin e Konsultimit i cili ne forme te shkurtër ka paraqitur informatat e përmbledhura të projektligjit, qëllimin, objektivat dhe hapësirën për konsultim, informatat për hapat pas përfundimit të procesit te konsultimit etj.</w:t>
      </w:r>
    </w:p>
    <w:tbl>
      <w:tblPr>
        <w:tblpPr w:leftFromText="180" w:rightFromText="180" w:vertAnchor="text" w:horzAnchor="page" w:tblpX="976" w:tblpY="217"/>
        <w:tblW w:w="10075" w:type="dxa"/>
        <w:tblLayout w:type="fixed"/>
        <w:tblLook w:val="04A0" w:firstRow="1" w:lastRow="0" w:firstColumn="1" w:lastColumn="0" w:noHBand="0" w:noVBand="1"/>
      </w:tblPr>
      <w:tblGrid>
        <w:gridCol w:w="1975"/>
        <w:gridCol w:w="2610"/>
        <w:gridCol w:w="1530"/>
        <w:gridCol w:w="2070"/>
        <w:gridCol w:w="1890"/>
      </w:tblGrid>
      <w:tr w:rsidR="00837ED3" w:rsidRPr="00837ED3" w14:paraId="6D4D0FC0" w14:textId="77777777" w:rsidTr="00EB76CD">
        <w:tc>
          <w:tcPr>
            <w:tcW w:w="1975" w:type="dxa"/>
            <w:shd w:val="clear" w:color="auto" w:fill="FBE4D5"/>
          </w:tcPr>
          <w:p w14:paraId="0B990310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837ED3">
              <w:rPr>
                <w:rFonts w:ascii="Times New Roman" w:hAnsi="Times New Roman"/>
                <w:b/>
                <w:lang w:val="sq-AL"/>
              </w:rPr>
              <w:t>Metodat e Konsultimit</w:t>
            </w:r>
          </w:p>
        </w:tc>
        <w:tc>
          <w:tcPr>
            <w:tcW w:w="2610" w:type="dxa"/>
            <w:shd w:val="clear" w:color="auto" w:fill="FBE4D5"/>
          </w:tcPr>
          <w:p w14:paraId="081729C6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837ED3">
              <w:rPr>
                <w:rFonts w:ascii="Times New Roman" w:hAnsi="Times New Roman"/>
                <w:b/>
                <w:lang w:val="sq-AL"/>
              </w:rPr>
              <w:t>Datat/kohëzgjatja</w:t>
            </w:r>
          </w:p>
        </w:tc>
        <w:tc>
          <w:tcPr>
            <w:tcW w:w="1530" w:type="dxa"/>
            <w:shd w:val="clear" w:color="auto" w:fill="FBE4D5"/>
          </w:tcPr>
          <w:p w14:paraId="7BAA43CD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837ED3">
              <w:rPr>
                <w:rFonts w:ascii="Times New Roman" w:hAnsi="Times New Roman"/>
                <w:b/>
                <w:lang w:val="sq-AL"/>
              </w:rPr>
              <w:t xml:space="preserve">Numri i pjesëmarrësve </w:t>
            </w:r>
          </w:p>
        </w:tc>
        <w:tc>
          <w:tcPr>
            <w:tcW w:w="2070" w:type="dxa"/>
            <w:shd w:val="clear" w:color="auto" w:fill="FBE4D5"/>
          </w:tcPr>
          <w:p w14:paraId="4DF81C7D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837ED3">
              <w:rPr>
                <w:rFonts w:ascii="Times New Roman" w:hAnsi="Times New Roman"/>
                <w:b/>
                <w:lang w:val="sq-AL"/>
              </w:rPr>
              <w:t xml:space="preserve">Numri i pjesëmarrësve të cilët kanë kontribuar </w:t>
            </w:r>
          </w:p>
        </w:tc>
        <w:tc>
          <w:tcPr>
            <w:tcW w:w="1890" w:type="dxa"/>
            <w:shd w:val="clear" w:color="auto" w:fill="FBE4D5"/>
          </w:tcPr>
          <w:p w14:paraId="4269BB8E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/>
                <w:b/>
                <w:lang w:val="sq-AL"/>
              </w:rPr>
            </w:pPr>
            <w:r w:rsidRPr="00837ED3">
              <w:rPr>
                <w:rFonts w:ascii="Times New Roman" w:hAnsi="Times New Roman"/>
                <w:b/>
                <w:lang w:val="sq-AL"/>
              </w:rPr>
              <w:t>Numri i komenteve  te pranuara</w:t>
            </w:r>
          </w:p>
        </w:tc>
      </w:tr>
      <w:tr w:rsidR="00837ED3" w:rsidRPr="00837ED3" w14:paraId="69AD5805" w14:textId="77777777" w:rsidTr="00EB76CD">
        <w:tc>
          <w:tcPr>
            <w:tcW w:w="1975" w:type="dxa"/>
            <w:shd w:val="clear" w:color="auto" w:fill="FBE4D5"/>
          </w:tcPr>
          <w:p w14:paraId="4062186F" w14:textId="77777777" w:rsidR="0082767A" w:rsidRPr="00837ED3" w:rsidRDefault="0082767A" w:rsidP="008276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837ED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Konsultimet me shkrim / në mënyrë elektronike;</w:t>
            </w:r>
          </w:p>
        </w:tc>
        <w:tc>
          <w:tcPr>
            <w:tcW w:w="2610" w:type="dxa"/>
            <w:shd w:val="clear" w:color="auto" w:fill="auto"/>
          </w:tcPr>
          <w:p w14:paraId="0E503285" w14:textId="2B3BAECC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7ED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Data e fillimit: </w:t>
            </w:r>
            <w:r w:rsidRPr="00837E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sq-AL"/>
              </w:rPr>
              <w:t xml:space="preserve">  </w:t>
            </w:r>
            <w:r w:rsidR="00AF0847" w:rsidRPr="00837ED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sq-AL"/>
              </w:rPr>
              <w:t>25.08.2022</w:t>
            </w:r>
            <w:r w:rsidRPr="00837ED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sq-AL"/>
              </w:rPr>
              <w:t xml:space="preserve"> </w:t>
            </w:r>
            <w:r w:rsidRPr="00837ED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Data e përfundimit </w:t>
            </w:r>
            <w:r w:rsidR="00AF0847" w:rsidRPr="00837ED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14.09.2022</w:t>
            </w:r>
            <w:r w:rsidRPr="00837ED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sq-AL"/>
              </w:rPr>
              <w:t xml:space="preserve"> </w:t>
            </w:r>
          </w:p>
          <w:p w14:paraId="35AEC3C7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7ED3">
              <w:rPr>
                <w:rFonts w:ascii="Times New Roman" w:hAnsi="Times New Roman"/>
                <w:sz w:val="24"/>
                <w:szCs w:val="24"/>
                <w:lang w:val="sq-AL"/>
              </w:rPr>
              <w:t>15 ditë pune</w:t>
            </w:r>
          </w:p>
        </w:tc>
        <w:tc>
          <w:tcPr>
            <w:tcW w:w="1530" w:type="dxa"/>
            <w:shd w:val="clear" w:color="auto" w:fill="FBE4D5"/>
          </w:tcPr>
          <w:p w14:paraId="0C996A42" w14:textId="19F65A89" w:rsidR="0082767A" w:rsidRPr="00837ED3" w:rsidRDefault="00AF0847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7ED3"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2070" w:type="dxa"/>
            <w:shd w:val="clear" w:color="auto" w:fill="FBE4D5"/>
          </w:tcPr>
          <w:p w14:paraId="748E2BF5" w14:textId="0DD62EAD" w:rsidR="0082767A" w:rsidRPr="00837ED3" w:rsidRDefault="00AF0847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7ED3"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1890" w:type="dxa"/>
            <w:shd w:val="clear" w:color="auto" w:fill="FBE4D5"/>
          </w:tcPr>
          <w:p w14:paraId="0D3948DF" w14:textId="2436C820" w:rsidR="0082767A" w:rsidRPr="00837ED3" w:rsidRDefault="00AF0847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7ED3">
              <w:rPr>
                <w:rFonts w:ascii="Times New Roman" w:hAnsi="Times New Roman"/>
                <w:sz w:val="24"/>
                <w:szCs w:val="24"/>
                <w:lang w:val="sq-AL"/>
              </w:rPr>
              <w:t>11</w:t>
            </w:r>
          </w:p>
        </w:tc>
      </w:tr>
      <w:tr w:rsidR="00837ED3" w:rsidRPr="00837ED3" w14:paraId="5DBB98AA" w14:textId="77777777" w:rsidTr="00EB76CD">
        <w:trPr>
          <w:trHeight w:val="905"/>
        </w:trPr>
        <w:tc>
          <w:tcPr>
            <w:tcW w:w="1975" w:type="dxa"/>
            <w:shd w:val="clear" w:color="auto" w:fill="FBE4D5"/>
          </w:tcPr>
          <w:p w14:paraId="3A169CD2" w14:textId="77777777" w:rsidR="0082767A" w:rsidRPr="00837ED3" w:rsidRDefault="0082767A" w:rsidP="008276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837ED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lastRenderedPageBreak/>
              <w:t>Publikimi në ueb faqe/Platforma elektronike</w:t>
            </w:r>
          </w:p>
        </w:tc>
        <w:tc>
          <w:tcPr>
            <w:tcW w:w="2610" w:type="dxa"/>
            <w:shd w:val="clear" w:color="auto" w:fill="FBE4D5"/>
          </w:tcPr>
          <w:p w14:paraId="108AF870" w14:textId="3C115CA5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837ED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Data e fillimit: </w:t>
            </w:r>
            <w:r w:rsidRPr="00837E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sq-AL"/>
              </w:rPr>
              <w:t xml:space="preserve"> </w:t>
            </w:r>
            <w:r w:rsidR="005D5A4C" w:rsidRPr="00837ED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sq-AL"/>
              </w:rPr>
              <w:t>2</w:t>
            </w:r>
            <w:r w:rsidR="005116D6" w:rsidRPr="00837ED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sq-AL"/>
              </w:rPr>
              <w:t>1</w:t>
            </w:r>
            <w:r w:rsidR="00BF4961" w:rsidRPr="00837ED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sq-AL"/>
              </w:rPr>
              <w:t>.09.</w:t>
            </w:r>
            <w:r w:rsidR="00AA0B66" w:rsidRPr="00837ED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sq-AL"/>
              </w:rPr>
              <w:t>2022</w:t>
            </w:r>
            <w:r w:rsidRPr="00837ED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Data e përfundimit </w:t>
            </w:r>
            <w:r w:rsidR="00EF37E9" w:rsidRPr="00837ED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1</w:t>
            </w:r>
            <w:r w:rsidR="005116D6" w:rsidRPr="00837ED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</w:t>
            </w:r>
            <w:r w:rsidR="00BF4961" w:rsidRPr="00837ED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.</w:t>
            </w:r>
            <w:r w:rsidR="007302CB" w:rsidRPr="00837ED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10</w:t>
            </w:r>
            <w:r w:rsidR="00BF4961" w:rsidRPr="00837ED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.</w:t>
            </w:r>
            <w:r w:rsidR="009260ED" w:rsidRPr="00837ED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2022</w:t>
            </w:r>
          </w:p>
          <w:p w14:paraId="011BF1D9" w14:textId="2819C562" w:rsidR="00AF0847" w:rsidRPr="00837ED3" w:rsidRDefault="00AF0847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7ED3">
              <w:rPr>
                <w:rFonts w:ascii="Times New Roman" w:hAnsi="Times New Roman"/>
                <w:sz w:val="24"/>
                <w:szCs w:val="24"/>
                <w:lang w:val="sq-AL"/>
              </w:rPr>
              <w:t>15 ditë pune</w:t>
            </w:r>
          </w:p>
          <w:p w14:paraId="3E69937D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530" w:type="dxa"/>
            <w:shd w:val="clear" w:color="auto" w:fill="FBE4D5"/>
          </w:tcPr>
          <w:p w14:paraId="734C0217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shd w:val="clear" w:color="auto" w:fill="FBE4D5"/>
          </w:tcPr>
          <w:p w14:paraId="45F92AD6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90" w:type="dxa"/>
            <w:shd w:val="clear" w:color="auto" w:fill="FBE4D5"/>
          </w:tcPr>
          <w:p w14:paraId="02ED1E99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837ED3" w:rsidRPr="00837ED3" w14:paraId="5DD30171" w14:textId="77777777" w:rsidTr="00EB76CD">
        <w:tc>
          <w:tcPr>
            <w:tcW w:w="1975" w:type="dxa"/>
            <w:shd w:val="clear" w:color="auto" w:fill="FBE4D5"/>
          </w:tcPr>
          <w:p w14:paraId="00DC9DBC" w14:textId="77777777" w:rsidR="0082767A" w:rsidRPr="00837ED3" w:rsidRDefault="0082767A" w:rsidP="008276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837ED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Takimet publike</w:t>
            </w:r>
          </w:p>
        </w:tc>
        <w:tc>
          <w:tcPr>
            <w:tcW w:w="2610" w:type="dxa"/>
            <w:shd w:val="clear" w:color="auto" w:fill="FBE4D5"/>
          </w:tcPr>
          <w:p w14:paraId="2A9BF5F6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530" w:type="dxa"/>
            <w:shd w:val="clear" w:color="auto" w:fill="FBE4D5"/>
          </w:tcPr>
          <w:p w14:paraId="3C37AED8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shd w:val="clear" w:color="auto" w:fill="FBE4D5"/>
          </w:tcPr>
          <w:p w14:paraId="3F3B5698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90" w:type="dxa"/>
            <w:shd w:val="clear" w:color="auto" w:fill="FBE4D5"/>
          </w:tcPr>
          <w:p w14:paraId="6275D757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837ED3" w:rsidRPr="00837ED3" w14:paraId="471383FD" w14:textId="77777777" w:rsidTr="00EB76CD">
        <w:tc>
          <w:tcPr>
            <w:tcW w:w="1975" w:type="dxa"/>
            <w:shd w:val="clear" w:color="auto" w:fill="FBE4D5"/>
          </w:tcPr>
          <w:p w14:paraId="02EB27EB" w14:textId="77777777" w:rsidR="0082767A" w:rsidRPr="00837ED3" w:rsidRDefault="0082767A" w:rsidP="008276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837ED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Konferencat</w:t>
            </w:r>
          </w:p>
        </w:tc>
        <w:tc>
          <w:tcPr>
            <w:tcW w:w="2610" w:type="dxa"/>
            <w:shd w:val="clear" w:color="auto" w:fill="FBE4D5"/>
          </w:tcPr>
          <w:p w14:paraId="12670A03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530" w:type="dxa"/>
            <w:shd w:val="clear" w:color="auto" w:fill="FBE4D5"/>
          </w:tcPr>
          <w:p w14:paraId="15F7CBF1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shd w:val="clear" w:color="auto" w:fill="FBE4D5"/>
          </w:tcPr>
          <w:p w14:paraId="5E57A588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90" w:type="dxa"/>
            <w:shd w:val="clear" w:color="auto" w:fill="FBE4D5"/>
          </w:tcPr>
          <w:p w14:paraId="63762919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837ED3" w:rsidRPr="00837ED3" w14:paraId="4E7D4AB2" w14:textId="77777777" w:rsidTr="00EB76CD">
        <w:trPr>
          <w:trHeight w:val="283"/>
        </w:trPr>
        <w:tc>
          <w:tcPr>
            <w:tcW w:w="1975" w:type="dxa"/>
            <w:shd w:val="clear" w:color="auto" w:fill="FBE4D5"/>
          </w:tcPr>
          <w:p w14:paraId="52BB6DEE" w14:textId="77777777" w:rsidR="0082767A" w:rsidRPr="00837ED3" w:rsidRDefault="0082767A" w:rsidP="008276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837ED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Takime me grupe të interesit</w:t>
            </w:r>
          </w:p>
        </w:tc>
        <w:tc>
          <w:tcPr>
            <w:tcW w:w="2610" w:type="dxa"/>
            <w:shd w:val="clear" w:color="auto" w:fill="FBE4D5"/>
          </w:tcPr>
          <w:p w14:paraId="7B752850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530" w:type="dxa"/>
            <w:shd w:val="clear" w:color="auto" w:fill="FBE4D5"/>
          </w:tcPr>
          <w:p w14:paraId="589871A2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shd w:val="clear" w:color="auto" w:fill="FBE4D5"/>
          </w:tcPr>
          <w:p w14:paraId="6B4C3555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90" w:type="dxa"/>
            <w:shd w:val="clear" w:color="auto" w:fill="FBE4D5"/>
          </w:tcPr>
          <w:p w14:paraId="65A6E3C8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9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837ED3" w:rsidRPr="00837ED3" w14:paraId="361047FE" w14:textId="77777777" w:rsidTr="00EB76CD">
        <w:tc>
          <w:tcPr>
            <w:tcW w:w="1975" w:type="dxa"/>
            <w:shd w:val="clear" w:color="auto" w:fill="FBE4D5"/>
          </w:tcPr>
          <w:p w14:paraId="37A75CBD" w14:textId="77777777" w:rsidR="0082767A" w:rsidRPr="00837ED3" w:rsidRDefault="0082767A" w:rsidP="008276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837ED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Punëtoritë</w:t>
            </w:r>
          </w:p>
        </w:tc>
        <w:tc>
          <w:tcPr>
            <w:tcW w:w="2610" w:type="dxa"/>
            <w:shd w:val="clear" w:color="auto" w:fill="FBE4D5"/>
          </w:tcPr>
          <w:p w14:paraId="2A9DA2D7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530" w:type="dxa"/>
            <w:shd w:val="clear" w:color="auto" w:fill="FBE4D5"/>
          </w:tcPr>
          <w:p w14:paraId="7C7CE652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shd w:val="clear" w:color="auto" w:fill="FBE4D5"/>
          </w:tcPr>
          <w:p w14:paraId="5E9CDE49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90" w:type="dxa"/>
            <w:shd w:val="clear" w:color="auto" w:fill="FBE4D5"/>
          </w:tcPr>
          <w:p w14:paraId="43087228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837ED3" w:rsidRPr="00837ED3" w14:paraId="560C68FF" w14:textId="77777777" w:rsidTr="00EB76CD">
        <w:tc>
          <w:tcPr>
            <w:tcW w:w="1975" w:type="dxa"/>
            <w:shd w:val="clear" w:color="auto" w:fill="FBE4D5"/>
          </w:tcPr>
          <w:p w14:paraId="29A69E7C" w14:textId="77777777" w:rsidR="0082767A" w:rsidRPr="00837ED3" w:rsidRDefault="0082767A" w:rsidP="008276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837ED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Intervistat/takimet sy në sy</w:t>
            </w:r>
          </w:p>
        </w:tc>
        <w:tc>
          <w:tcPr>
            <w:tcW w:w="2610" w:type="dxa"/>
            <w:shd w:val="clear" w:color="auto" w:fill="FBE4D5"/>
          </w:tcPr>
          <w:p w14:paraId="781AD243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530" w:type="dxa"/>
            <w:shd w:val="clear" w:color="auto" w:fill="FBE4D5"/>
          </w:tcPr>
          <w:p w14:paraId="38013EAA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shd w:val="clear" w:color="auto" w:fill="FBE4D5"/>
          </w:tcPr>
          <w:p w14:paraId="22CDD002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90" w:type="dxa"/>
            <w:shd w:val="clear" w:color="auto" w:fill="FBE4D5"/>
          </w:tcPr>
          <w:p w14:paraId="4CB1A4CF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837ED3" w:rsidRPr="00837ED3" w14:paraId="7FD7CF85" w14:textId="77777777" w:rsidTr="00EB76CD">
        <w:tc>
          <w:tcPr>
            <w:tcW w:w="1975" w:type="dxa"/>
            <w:shd w:val="clear" w:color="auto" w:fill="FBE4D5"/>
          </w:tcPr>
          <w:p w14:paraId="3524E9A3" w14:textId="77777777" w:rsidR="0082767A" w:rsidRPr="00837ED3" w:rsidRDefault="0082767A" w:rsidP="008276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837ED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Hulumtimet e opinionit</w:t>
            </w:r>
          </w:p>
        </w:tc>
        <w:tc>
          <w:tcPr>
            <w:tcW w:w="2610" w:type="dxa"/>
            <w:shd w:val="clear" w:color="auto" w:fill="FBE4D5"/>
          </w:tcPr>
          <w:p w14:paraId="6423D460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530" w:type="dxa"/>
            <w:shd w:val="clear" w:color="auto" w:fill="FBE4D5"/>
          </w:tcPr>
          <w:p w14:paraId="4D974FA0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shd w:val="clear" w:color="auto" w:fill="FBE4D5"/>
          </w:tcPr>
          <w:p w14:paraId="40D6846B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90" w:type="dxa"/>
            <w:shd w:val="clear" w:color="auto" w:fill="FBE4D5"/>
          </w:tcPr>
          <w:p w14:paraId="00A2C7CE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837ED3" w:rsidRPr="00837ED3" w14:paraId="4DD7E3AD" w14:textId="77777777" w:rsidTr="00EB76CD">
        <w:tc>
          <w:tcPr>
            <w:tcW w:w="1975" w:type="dxa"/>
            <w:shd w:val="clear" w:color="auto" w:fill="FBE4D5"/>
          </w:tcPr>
          <w:p w14:paraId="15412F89" w14:textId="77777777" w:rsidR="0082767A" w:rsidRPr="00837ED3" w:rsidRDefault="0082767A" w:rsidP="008276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837ED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Votimi diskutues</w:t>
            </w:r>
          </w:p>
        </w:tc>
        <w:tc>
          <w:tcPr>
            <w:tcW w:w="2610" w:type="dxa"/>
            <w:shd w:val="clear" w:color="auto" w:fill="FBE4D5"/>
          </w:tcPr>
          <w:p w14:paraId="00C95059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530" w:type="dxa"/>
            <w:shd w:val="clear" w:color="auto" w:fill="FBE4D5"/>
          </w:tcPr>
          <w:p w14:paraId="461C14F0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shd w:val="clear" w:color="auto" w:fill="FBE4D5"/>
          </w:tcPr>
          <w:p w14:paraId="3E5C1447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90" w:type="dxa"/>
            <w:shd w:val="clear" w:color="auto" w:fill="FBE4D5"/>
          </w:tcPr>
          <w:p w14:paraId="6D82CBF8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837ED3" w:rsidRPr="00837ED3" w14:paraId="6F7CA53A" w14:textId="77777777" w:rsidTr="00EB76CD">
        <w:tc>
          <w:tcPr>
            <w:tcW w:w="1975" w:type="dxa"/>
            <w:shd w:val="clear" w:color="auto" w:fill="FBE4D5"/>
          </w:tcPr>
          <w:p w14:paraId="6E4643FA" w14:textId="77777777" w:rsidR="0082767A" w:rsidRPr="00837ED3" w:rsidRDefault="0082767A" w:rsidP="008276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837ED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Panelet me qytetarë </w:t>
            </w:r>
          </w:p>
        </w:tc>
        <w:tc>
          <w:tcPr>
            <w:tcW w:w="2610" w:type="dxa"/>
            <w:shd w:val="clear" w:color="auto" w:fill="FBE4D5"/>
          </w:tcPr>
          <w:p w14:paraId="18AACFC0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530" w:type="dxa"/>
            <w:shd w:val="clear" w:color="auto" w:fill="FBE4D5"/>
          </w:tcPr>
          <w:p w14:paraId="6BF0AB06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shd w:val="clear" w:color="auto" w:fill="FBE4D5"/>
          </w:tcPr>
          <w:p w14:paraId="0ADE00D1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90" w:type="dxa"/>
            <w:shd w:val="clear" w:color="auto" w:fill="FBE4D5"/>
          </w:tcPr>
          <w:p w14:paraId="01D1FA51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1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837ED3" w:rsidRPr="00837ED3" w14:paraId="1027B585" w14:textId="77777777" w:rsidTr="00EB76CD">
        <w:tc>
          <w:tcPr>
            <w:tcW w:w="1975" w:type="dxa"/>
            <w:shd w:val="clear" w:color="auto" w:fill="FBE4D5"/>
          </w:tcPr>
          <w:p w14:paraId="1BDB9DEF" w14:textId="77777777" w:rsidR="0082767A" w:rsidRPr="00837ED3" w:rsidRDefault="0082767A" w:rsidP="008276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837ED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Stendat në rrugë</w:t>
            </w:r>
          </w:p>
        </w:tc>
        <w:tc>
          <w:tcPr>
            <w:tcW w:w="2610" w:type="dxa"/>
            <w:shd w:val="clear" w:color="auto" w:fill="FBE4D5"/>
          </w:tcPr>
          <w:p w14:paraId="5346879B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530" w:type="dxa"/>
            <w:shd w:val="clear" w:color="auto" w:fill="FBE4D5"/>
          </w:tcPr>
          <w:p w14:paraId="53CD1E79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shd w:val="clear" w:color="auto" w:fill="FBE4D5"/>
          </w:tcPr>
          <w:p w14:paraId="7F16E7A3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90" w:type="dxa"/>
            <w:shd w:val="clear" w:color="auto" w:fill="FBE4D5"/>
          </w:tcPr>
          <w:p w14:paraId="2CC156B2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837ED3" w:rsidRPr="00837ED3" w14:paraId="4A2CE9F4" w14:textId="77777777" w:rsidTr="00EB76CD">
        <w:tc>
          <w:tcPr>
            <w:tcW w:w="1975" w:type="dxa"/>
            <w:shd w:val="clear" w:color="auto" w:fill="FBE4D5"/>
          </w:tcPr>
          <w:p w14:paraId="5E6B7466" w14:textId="77777777" w:rsidR="0082767A" w:rsidRPr="00837ED3" w:rsidRDefault="0082767A" w:rsidP="008276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837ED3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tjetër</w:t>
            </w:r>
          </w:p>
        </w:tc>
        <w:tc>
          <w:tcPr>
            <w:tcW w:w="2610" w:type="dxa"/>
            <w:shd w:val="clear" w:color="auto" w:fill="FBE4D5"/>
          </w:tcPr>
          <w:p w14:paraId="5B5D5906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530" w:type="dxa"/>
            <w:shd w:val="clear" w:color="auto" w:fill="FBE4D5"/>
          </w:tcPr>
          <w:p w14:paraId="272D3191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shd w:val="clear" w:color="auto" w:fill="FBE4D5"/>
          </w:tcPr>
          <w:p w14:paraId="0BD36138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90" w:type="dxa"/>
            <w:shd w:val="clear" w:color="auto" w:fill="FBE4D5"/>
          </w:tcPr>
          <w:p w14:paraId="47455724" w14:textId="77777777" w:rsidR="0082767A" w:rsidRPr="00837ED3" w:rsidRDefault="0082767A" w:rsidP="00E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3818025E" w14:textId="77777777" w:rsidR="0082767A" w:rsidRPr="00837ED3" w:rsidRDefault="0082767A" w:rsidP="0082767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sq-AL"/>
        </w:rPr>
      </w:pPr>
    </w:p>
    <w:p w14:paraId="0C1FA9FE" w14:textId="77777777" w:rsidR="0082767A" w:rsidRPr="00837ED3" w:rsidRDefault="0082767A" w:rsidP="0082767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sq-AL"/>
        </w:rPr>
      </w:pPr>
      <w:r w:rsidRPr="00837ED3">
        <w:rPr>
          <w:rFonts w:ascii="Times New Roman" w:eastAsia="Calibri" w:hAnsi="Times New Roman"/>
          <w:b/>
          <w:sz w:val="24"/>
          <w:szCs w:val="24"/>
          <w:lang w:val="sq-AL"/>
        </w:rPr>
        <w:t>Përmbledhje e  kontributeve të pranuara gjatë procesit të konsultimit</w:t>
      </w:r>
    </w:p>
    <w:p w14:paraId="35C92095" w14:textId="77777777" w:rsidR="0082767A" w:rsidRPr="00837ED3" w:rsidRDefault="0082767A" w:rsidP="008276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</w:p>
    <w:p w14:paraId="7FF3CD84" w14:textId="3486832B" w:rsidR="0082767A" w:rsidRPr="00837ED3" w:rsidRDefault="0082767A" w:rsidP="008276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837ED3">
        <w:rPr>
          <w:rFonts w:ascii="Times New Roman" w:eastAsia="Calibri" w:hAnsi="Times New Roman"/>
          <w:sz w:val="24"/>
          <w:szCs w:val="24"/>
          <w:lang w:val="sq-AL"/>
        </w:rPr>
        <w:t xml:space="preserve">Kontributet për </w:t>
      </w:r>
      <w:r w:rsidR="00FA38B1" w:rsidRPr="00837ED3">
        <w:rPr>
          <w:rFonts w:ascii="Times New Roman" w:eastAsia="Calibri" w:hAnsi="Times New Roman"/>
          <w:sz w:val="24"/>
          <w:szCs w:val="24"/>
          <w:lang w:val="sq-AL"/>
        </w:rPr>
        <w:t xml:space="preserve">Projekt Udhëzimi Administrativ (MBPZHR) – NR. </w:t>
      </w:r>
      <w:proofErr w:type="spellStart"/>
      <w:r w:rsidR="004E7689" w:rsidRPr="00837ED3">
        <w:rPr>
          <w:rFonts w:ascii="Times New Roman" w:eastAsia="Calibri" w:hAnsi="Times New Roman"/>
          <w:sz w:val="24"/>
          <w:szCs w:val="24"/>
          <w:lang w:val="sq-AL"/>
        </w:rPr>
        <w:t>xx</w:t>
      </w:r>
      <w:proofErr w:type="spellEnd"/>
      <w:r w:rsidR="00D729C0" w:rsidRPr="00837ED3">
        <w:rPr>
          <w:rFonts w:ascii="Times New Roman" w:eastAsia="Calibri" w:hAnsi="Times New Roman"/>
          <w:sz w:val="24"/>
          <w:szCs w:val="24"/>
          <w:lang w:val="sq-AL"/>
        </w:rPr>
        <w:t>/</w:t>
      </w:r>
      <w:r w:rsidR="00FA38B1" w:rsidRPr="00837ED3">
        <w:rPr>
          <w:rFonts w:ascii="Times New Roman" w:eastAsia="Calibri" w:hAnsi="Times New Roman"/>
          <w:sz w:val="24"/>
          <w:szCs w:val="24"/>
          <w:lang w:val="sq-AL"/>
        </w:rPr>
        <w:t xml:space="preserve">2022 </w:t>
      </w:r>
      <w:r w:rsidR="00D60002" w:rsidRPr="00837ED3">
        <w:rPr>
          <w:rFonts w:ascii="Times New Roman" w:hAnsi="Times New Roman"/>
          <w:bCs/>
          <w:sz w:val="24"/>
          <w:szCs w:val="24"/>
          <w:lang w:val="sq-AL"/>
        </w:rPr>
        <w:t xml:space="preserve">për Luftimin dhe Çrrënjosjen e Sëmundjes së Brucelozës, </w:t>
      </w:r>
      <w:proofErr w:type="spellStart"/>
      <w:r w:rsidR="00D60002" w:rsidRPr="00837ED3">
        <w:rPr>
          <w:rFonts w:ascii="Times New Roman" w:hAnsi="Times New Roman"/>
          <w:bCs/>
          <w:sz w:val="24"/>
          <w:szCs w:val="24"/>
          <w:lang w:val="sq-AL"/>
        </w:rPr>
        <w:t>Tuberkulozës</w:t>
      </w:r>
      <w:proofErr w:type="spellEnd"/>
      <w:r w:rsidR="00D60002" w:rsidRPr="00837ED3">
        <w:rPr>
          <w:rFonts w:ascii="Times New Roman" w:hAnsi="Times New Roman"/>
          <w:bCs/>
          <w:sz w:val="24"/>
          <w:szCs w:val="24"/>
          <w:lang w:val="sq-AL"/>
        </w:rPr>
        <w:t xml:space="preserve"> dhe </w:t>
      </w:r>
      <w:proofErr w:type="spellStart"/>
      <w:r w:rsidR="00D60002" w:rsidRPr="00837ED3">
        <w:rPr>
          <w:rFonts w:ascii="Times New Roman" w:hAnsi="Times New Roman"/>
          <w:bCs/>
          <w:sz w:val="24"/>
          <w:szCs w:val="24"/>
          <w:lang w:val="sq-AL"/>
        </w:rPr>
        <w:t>Leukozën</w:t>
      </w:r>
      <w:proofErr w:type="spellEnd"/>
      <w:r w:rsidR="00D60002" w:rsidRPr="00837ED3"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  <w:proofErr w:type="spellStart"/>
      <w:r w:rsidR="00D60002" w:rsidRPr="00837ED3">
        <w:rPr>
          <w:rFonts w:ascii="Times New Roman" w:hAnsi="Times New Roman"/>
          <w:bCs/>
          <w:sz w:val="24"/>
          <w:szCs w:val="24"/>
          <w:lang w:val="sq-AL"/>
        </w:rPr>
        <w:t>Enzootike</w:t>
      </w:r>
      <w:proofErr w:type="spellEnd"/>
      <w:r w:rsidR="00D60002" w:rsidRPr="00837ED3">
        <w:rPr>
          <w:rFonts w:ascii="Times New Roman" w:hAnsi="Times New Roman"/>
          <w:bCs/>
          <w:sz w:val="24"/>
          <w:szCs w:val="24"/>
          <w:lang w:val="sq-AL"/>
        </w:rPr>
        <w:t xml:space="preserve"> të Gjedhit</w:t>
      </w:r>
      <w:r w:rsidR="004E7689" w:rsidRPr="00837ED3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37ED3">
        <w:rPr>
          <w:rFonts w:ascii="Times New Roman" w:eastAsia="Calibri" w:hAnsi="Times New Roman"/>
          <w:sz w:val="24"/>
          <w:szCs w:val="24"/>
          <w:lang w:val="sq-AL"/>
        </w:rPr>
        <w:t>nga palët e interesit janë dhënë kryesisht gjatë takimeve punuese dhe kontributet e komunikimit të drejtpërdrejtë nga ana e palëve të interesit me shkrim  dhe përmes emalit</w:t>
      </w:r>
      <w:r w:rsidR="00FA38B1" w:rsidRPr="00837ED3">
        <w:rPr>
          <w:rFonts w:ascii="Times New Roman" w:eastAsia="Calibri" w:hAnsi="Times New Roman"/>
          <w:sz w:val="24"/>
          <w:szCs w:val="24"/>
          <w:lang w:val="sq-AL"/>
        </w:rPr>
        <w:t>.</w:t>
      </w:r>
    </w:p>
    <w:p w14:paraId="28C335E8" w14:textId="77777777" w:rsidR="00FA38B1" w:rsidRPr="00837ED3" w:rsidRDefault="00FA38B1" w:rsidP="008276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</w:p>
    <w:p w14:paraId="4720358B" w14:textId="77777777" w:rsidR="0082767A" w:rsidRPr="00837ED3" w:rsidRDefault="0082767A" w:rsidP="0082767A">
      <w:pPr>
        <w:spacing w:after="24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sq-AL" w:eastAsia="sq-AL"/>
        </w:rPr>
      </w:pPr>
      <w:r w:rsidRPr="00837ED3">
        <w:rPr>
          <w:rFonts w:ascii="Times New Roman" w:eastAsia="Calibri" w:hAnsi="Times New Roman"/>
          <w:b/>
          <w:sz w:val="24"/>
          <w:szCs w:val="24"/>
          <w:lang w:val="sq-AL" w:eastAsia="sq-AL"/>
        </w:rPr>
        <w:t>Çështje tjera</w:t>
      </w:r>
    </w:p>
    <w:p w14:paraId="39B2E140" w14:textId="13400F81" w:rsidR="0082767A" w:rsidRPr="00837ED3" w:rsidRDefault="0082767A" w:rsidP="0082767A">
      <w:pPr>
        <w:spacing w:after="240"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837ED3">
        <w:rPr>
          <w:rFonts w:ascii="Times New Roman" w:eastAsia="Calibri" w:hAnsi="Times New Roman"/>
          <w:sz w:val="24"/>
          <w:szCs w:val="24"/>
          <w:lang w:val="sq-AL"/>
        </w:rPr>
        <w:t xml:space="preserve">Me qellim të finalizimit te </w:t>
      </w:r>
      <w:r w:rsidR="00FA38B1" w:rsidRPr="00837ED3">
        <w:rPr>
          <w:rFonts w:ascii="Times New Roman" w:eastAsia="Calibri" w:hAnsi="Times New Roman"/>
          <w:sz w:val="24"/>
          <w:szCs w:val="24"/>
          <w:lang w:val="sq-AL"/>
        </w:rPr>
        <w:t xml:space="preserve">Projekt Udhëzimi Administrativ (MBPZHR) – NR. </w:t>
      </w:r>
      <w:proofErr w:type="spellStart"/>
      <w:r w:rsidR="004E7689" w:rsidRPr="00837ED3">
        <w:rPr>
          <w:rFonts w:ascii="Times New Roman" w:eastAsia="Calibri" w:hAnsi="Times New Roman"/>
          <w:sz w:val="24"/>
          <w:szCs w:val="24"/>
          <w:lang w:val="sq-AL"/>
        </w:rPr>
        <w:t>xx</w:t>
      </w:r>
      <w:proofErr w:type="spellEnd"/>
      <w:r w:rsidR="00D729C0" w:rsidRPr="00837ED3">
        <w:rPr>
          <w:rFonts w:ascii="Times New Roman" w:eastAsia="Calibri" w:hAnsi="Times New Roman"/>
          <w:sz w:val="24"/>
          <w:szCs w:val="24"/>
          <w:lang w:val="sq-AL"/>
        </w:rPr>
        <w:t>/</w:t>
      </w:r>
      <w:r w:rsidR="006C6940" w:rsidRPr="00837ED3">
        <w:rPr>
          <w:rFonts w:ascii="Times New Roman" w:eastAsia="Calibri" w:hAnsi="Times New Roman"/>
          <w:sz w:val="24"/>
          <w:szCs w:val="24"/>
          <w:lang w:val="sq-AL"/>
        </w:rPr>
        <w:t>2022</w:t>
      </w:r>
      <w:r w:rsidR="006C6940" w:rsidRPr="00837ED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D60002" w:rsidRPr="00837ED3">
        <w:rPr>
          <w:rFonts w:ascii="Times New Roman" w:hAnsi="Times New Roman"/>
          <w:bCs/>
          <w:sz w:val="24"/>
          <w:szCs w:val="24"/>
          <w:lang w:val="sq-AL"/>
        </w:rPr>
        <w:t xml:space="preserve">për Luftimin dhe Çrrënjosjen e Sëmundjes së Brucelozës, </w:t>
      </w:r>
      <w:proofErr w:type="spellStart"/>
      <w:r w:rsidR="00D60002" w:rsidRPr="00837ED3">
        <w:rPr>
          <w:rFonts w:ascii="Times New Roman" w:hAnsi="Times New Roman"/>
          <w:bCs/>
          <w:sz w:val="24"/>
          <w:szCs w:val="24"/>
          <w:lang w:val="sq-AL"/>
        </w:rPr>
        <w:t>Tuberkulozës</w:t>
      </w:r>
      <w:proofErr w:type="spellEnd"/>
      <w:r w:rsidR="00D60002" w:rsidRPr="00837ED3">
        <w:rPr>
          <w:rFonts w:ascii="Times New Roman" w:hAnsi="Times New Roman"/>
          <w:bCs/>
          <w:sz w:val="24"/>
          <w:szCs w:val="24"/>
          <w:lang w:val="sq-AL"/>
        </w:rPr>
        <w:t xml:space="preserve"> dhe </w:t>
      </w:r>
      <w:proofErr w:type="spellStart"/>
      <w:r w:rsidR="00D60002" w:rsidRPr="00837ED3">
        <w:rPr>
          <w:rFonts w:ascii="Times New Roman" w:hAnsi="Times New Roman"/>
          <w:bCs/>
          <w:sz w:val="24"/>
          <w:szCs w:val="24"/>
          <w:lang w:val="sq-AL"/>
        </w:rPr>
        <w:t>Leukozën</w:t>
      </w:r>
      <w:proofErr w:type="spellEnd"/>
      <w:r w:rsidR="00D60002" w:rsidRPr="00837ED3"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  <w:proofErr w:type="spellStart"/>
      <w:r w:rsidR="00D60002" w:rsidRPr="00837ED3">
        <w:rPr>
          <w:rFonts w:ascii="Times New Roman" w:hAnsi="Times New Roman"/>
          <w:bCs/>
          <w:sz w:val="24"/>
          <w:szCs w:val="24"/>
          <w:lang w:val="sq-AL"/>
        </w:rPr>
        <w:t>Enzootike</w:t>
      </w:r>
      <w:proofErr w:type="spellEnd"/>
      <w:r w:rsidR="00D60002" w:rsidRPr="00837ED3">
        <w:rPr>
          <w:rFonts w:ascii="Times New Roman" w:hAnsi="Times New Roman"/>
          <w:bCs/>
          <w:sz w:val="24"/>
          <w:szCs w:val="24"/>
          <w:lang w:val="sq-AL"/>
        </w:rPr>
        <w:t xml:space="preserve"> të Gjedhit</w:t>
      </w:r>
      <w:r w:rsidR="007F1C4D" w:rsidRPr="00837ED3">
        <w:rPr>
          <w:rFonts w:ascii="Times New Roman" w:hAnsi="Times New Roman"/>
          <w:bCs/>
          <w:sz w:val="24"/>
          <w:szCs w:val="24"/>
          <w:lang w:val="lv-LV" w:eastAsia="lv-LV"/>
        </w:rPr>
        <w:t xml:space="preserve"> </w:t>
      </w:r>
      <w:r w:rsidRPr="00837ED3">
        <w:rPr>
          <w:rFonts w:ascii="Times New Roman" w:eastAsia="Calibri" w:hAnsi="Times New Roman"/>
          <w:sz w:val="24"/>
          <w:szCs w:val="24"/>
          <w:lang w:val="sq-AL"/>
        </w:rPr>
        <w:t xml:space="preserve">dhe shqyrtimit të komenteve të pranuara, janë mbajtur takime punuese ne Departamentin </w:t>
      </w:r>
      <w:proofErr w:type="spellStart"/>
      <w:r w:rsidRPr="00837ED3">
        <w:rPr>
          <w:rFonts w:ascii="Times New Roman" w:eastAsia="Calibri" w:hAnsi="Times New Roman"/>
          <w:sz w:val="24"/>
          <w:szCs w:val="24"/>
          <w:lang w:val="sq-AL"/>
        </w:rPr>
        <w:t>sponzurues</w:t>
      </w:r>
      <w:proofErr w:type="spellEnd"/>
      <w:r w:rsidRPr="00837ED3">
        <w:rPr>
          <w:rFonts w:ascii="Times New Roman" w:eastAsia="Calibri" w:hAnsi="Times New Roman"/>
          <w:sz w:val="24"/>
          <w:szCs w:val="24"/>
          <w:lang w:val="sq-AL"/>
        </w:rPr>
        <w:t xml:space="preserve"> të </w:t>
      </w:r>
      <w:r w:rsidR="00137591" w:rsidRPr="00837ED3">
        <w:rPr>
          <w:rFonts w:ascii="Times New Roman" w:eastAsia="Calibri" w:hAnsi="Times New Roman"/>
          <w:sz w:val="24"/>
          <w:szCs w:val="24"/>
          <w:lang w:val="sq-AL"/>
        </w:rPr>
        <w:t>Ministrisë së Bujqësisë, Pylltarisë dhe Zhvillimit Rural,</w:t>
      </w:r>
      <w:r w:rsidRPr="00837ED3">
        <w:rPr>
          <w:rFonts w:ascii="Times New Roman" w:eastAsia="Calibri" w:hAnsi="Times New Roman"/>
          <w:sz w:val="24"/>
          <w:szCs w:val="24"/>
          <w:lang w:val="sq-AL"/>
        </w:rPr>
        <w:t xml:space="preserve"> ku nga anëtaret e ekipit punues janë shqyrtuar veç e veç, ndërsa raporti i detajuar për komentet e pranuara, kontribuuesit dhe statusin e kontributeve janë paraqitur në Shtojcën nr.1 të këtij raporti.</w:t>
      </w:r>
    </w:p>
    <w:p w14:paraId="1E78203B" w14:textId="77777777" w:rsidR="0082767A" w:rsidRPr="00837ED3" w:rsidRDefault="0082767A" w:rsidP="0082767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sq-AL"/>
        </w:rPr>
      </w:pPr>
      <w:r w:rsidRPr="00837ED3">
        <w:rPr>
          <w:rFonts w:ascii="Times New Roman" w:eastAsia="Calibri" w:hAnsi="Times New Roman"/>
          <w:b/>
          <w:sz w:val="24"/>
          <w:szCs w:val="24"/>
          <w:lang w:val="sq-AL"/>
        </w:rPr>
        <w:t>Hapat e ardhshëm</w:t>
      </w:r>
    </w:p>
    <w:p w14:paraId="017931F5" w14:textId="77777777" w:rsidR="0082767A" w:rsidRPr="00837ED3" w:rsidRDefault="0082767A" w:rsidP="0082767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sq-AL"/>
        </w:rPr>
      </w:pPr>
    </w:p>
    <w:p w14:paraId="217E3229" w14:textId="77596ACE" w:rsidR="0082767A" w:rsidRPr="00837ED3" w:rsidRDefault="00FA38B1" w:rsidP="008276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837ED3">
        <w:rPr>
          <w:rFonts w:ascii="Times New Roman" w:eastAsia="Calibri" w:hAnsi="Times New Roman"/>
          <w:sz w:val="24"/>
          <w:szCs w:val="24"/>
          <w:lang w:val="sq-AL"/>
        </w:rPr>
        <w:t>Udhëzimi Administrativ (MBPZHR) – NR.</w:t>
      </w:r>
      <w:r w:rsidR="001967C4" w:rsidRPr="00837ED3">
        <w:rPr>
          <w:rFonts w:ascii="Times New Roman" w:eastAsia="Calibri" w:hAnsi="Times New Roman"/>
          <w:sz w:val="24"/>
          <w:szCs w:val="24"/>
          <w:lang w:val="sq-AL"/>
        </w:rPr>
        <w:t>13</w:t>
      </w:r>
      <w:r w:rsidRPr="00837ED3">
        <w:rPr>
          <w:rFonts w:ascii="Times New Roman" w:eastAsia="Calibri" w:hAnsi="Times New Roman"/>
          <w:sz w:val="24"/>
          <w:szCs w:val="24"/>
          <w:lang w:val="sq-AL"/>
        </w:rPr>
        <w:t xml:space="preserve">/2022 </w:t>
      </w:r>
      <w:r w:rsidR="00D60002" w:rsidRPr="00837ED3">
        <w:rPr>
          <w:rFonts w:ascii="Times New Roman" w:hAnsi="Times New Roman"/>
          <w:bCs/>
          <w:sz w:val="24"/>
          <w:szCs w:val="24"/>
          <w:lang w:val="sq-AL"/>
        </w:rPr>
        <w:t xml:space="preserve">për Luftimin dhe Çrrënjosjen e Sëmundjes së Brucelozës, </w:t>
      </w:r>
      <w:proofErr w:type="spellStart"/>
      <w:r w:rsidR="00D60002" w:rsidRPr="00837ED3">
        <w:rPr>
          <w:rFonts w:ascii="Times New Roman" w:hAnsi="Times New Roman"/>
          <w:bCs/>
          <w:sz w:val="24"/>
          <w:szCs w:val="24"/>
          <w:lang w:val="sq-AL"/>
        </w:rPr>
        <w:t>Tuberkulozës</w:t>
      </w:r>
      <w:proofErr w:type="spellEnd"/>
      <w:r w:rsidR="00D60002" w:rsidRPr="00837ED3">
        <w:rPr>
          <w:rFonts w:ascii="Times New Roman" w:hAnsi="Times New Roman"/>
          <w:bCs/>
          <w:sz w:val="24"/>
          <w:szCs w:val="24"/>
          <w:lang w:val="sq-AL"/>
        </w:rPr>
        <w:t xml:space="preserve"> dhe </w:t>
      </w:r>
      <w:proofErr w:type="spellStart"/>
      <w:r w:rsidR="00D60002" w:rsidRPr="00837ED3">
        <w:rPr>
          <w:rFonts w:ascii="Times New Roman" w:hAnsi="Times New Roman"/>
          <w:bCs/>
          <w:sz w:val="24"/>
          <w:szCs w:val="24"/>
          <w:lang w:val="sq-AL"/>
        </w:rPr>
        <w:t>Leukozën</w:t>
      </w:r>
      <w:proofErr w:type="spellEnd"/>
      <w:r w:rsidR="00D60002" w:rsidRPr="00837ED3"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  <w:proofErr w:type="spellStart"/>
      <w:r w:rsidR="00D60002" w:rsidRPr="00837ED3">
        <w:rPr>
          <w:rFonts w:ascii="Times New Roman" w:hAnsi="Times New Roman"/>
          <w:bCs/>
          <w:sz w:val="24"/>
          <w:szCs w:val="24"/>
          <w:lang w:val="sq-AL"/>
        </w:rPr>
        <w:t>Enzootike</w:t>
      </w:r>
      <w:proofErr w:type="spellEnd"/>
      <w:r w:rsidR="00D60002" w:rsidRPr="00837ED3">
        <w:rPr>
          <w:rFonts w:ascii="Times New Roman" w:hAnsi="Times New Roman"/>
          <w:bCs/>
          <w:sz w:val="24"/>
          <w:szCs w:val="24"/>
          <w:lang w:val="sq-AL"/>
        </w:rPr>
        <w:t xml:space="preserve"> të Gjedhit</w:t>
      </w:r>
      <w:r w:rsidR="007F1C4D" w:rsidRPr="00837ED3">
        <w:rPr>
          <w:rFonts w:ascii="Times New Roman" w:hAnsi="Times New Roman"/>
          <w:bCs/>
          <w:sz w:val="24"/>
          <w:szCs w:val="24"/>
          <w:lang w:val="lv-LV" w:eastAsia="lv-LV"/>
        </w:rPr>
        <w:t xml:space="preserve">, </w:t>
      </w:r>
      <w:r w:rsidR="0082767A" w:rsidRPr="00837ED3">
        <w:rPr>
          <w:rFonts w:ascii="Times New Roman" w:eastAsia="Calibri" w:hAnsi="Times New Roman"/>
          <w:sz w:val="24"/>
          <w:szCs w:val="24"/>
          <w:lang w:val="sq-AL"/>
        </w:rPr>
        <w:t xml:space="preserve">është finalizuar nga Departamenti Ligjor i </w:t>
      </w:r>
      <w:r w:rsidR="00137591" w:rsidRPr="00837ED3">
        <w:rPr>
          <w:rFonts w:ascii="Times New Roman" w:eastAsia="Calibri" w:hAnsi="Times New Roman"/>
          <w:sz w:val="24"/>
          <w:szCs w:val="24"/>
          <w:lang w:val="sq-AL"/>
        </w:rPr>
        <w:t>Ministrisë së Bujqësisë, Pylltarisë dhe Zhvillimit Rural</w:t>
      </w:r>
      <w:r w:rsidR="0082767A" w:rsidRPr="00837ED3">
        <w:rPr>
          <w:rFonts w:ascii="Times New Roman" w:eastAsia="Calibri" w:hAnsi="Times New Roman"/>
          <w:sz w:val="24"/>
          <w:szCs w:val="24"/>
          <w:lang w:val="sq-AL"/>
        </w:rPr>
        <w:t xml:space="preserve"> dhe është procedua për </w:t>
      </w:r>
      <w:r w:rsidRPr="00837ED3">
        <w:rPr>
          <w:rFonts w:ascii="Times New Roman" w:eastAsia="Calibri" w:hAnsi="Times New Roman"/>
          <w:sz w:val="24"/>
          <w:szCs w:val="24"/>
          <w:lang w:val="sq-AL"/>
        </w:rPr>
        <w:t xml:space="preserve">shqyrtim dhe </w:t>
      </w:r>
      <w:r w:rsidR="0082767A" w:rsidRPr="00837ED3">
        <w:rPr>
          <w:rFonts w:ascii="Times New Roman" w:eastAsia="Calibri" w:hAnsi="Times New Roman"/>
          <w:sz w:val="24"/>
          <w:szCs w:val="24"/>
          <w:lang w:val="sq-AL"/>
        </w:rPr>
        <w:t xml:space="preserve">aprovim ne </w:t>
      </w:r>
      <w:r w:rsidRPr="00837ED3">
        <w:rPr>
          <w:rFonts w:ascii="Times New Roman" w:eastAsia="Calibri" w:hAnsi="Times New Roman"/>
          <w:sz w:val="24"/>
          <w:szCs w:val="24"/>
          <w:lang w:val="sq-AL"/>
        </w:rPr>
        <w:t xml:space="preserve">Kabinetin e Ministrit </w:t>
      </w:r>
      <w:r w:rsidR="00D86407" w:rsidRPr="00837ED3">
        <w:rPr>
          <w:rFonts w:ascii="Times New Roman" w:eastAsia="Calibri" w:hAnsi="Times New Roman"/>
          <w:sz w:val="24"/>
          <w:szCs w:val="24"/>
          <w:lang w:val="sq-AL"/>
        </w:rPr>
        <w:t>te MBPZHR-së</w:t>
      </w:r>
      <w:r w:rsidR="0082767A" w:rsidRPr="00837ED3">
        <w:rPr>
          <w:rFonts w:ascii="Times New Roman" w:eastAsia="Calibri" w:hAnsi="Times New Roman"/>
          <w:sz w:val="24"/>
          <w:szCs w:val="24"/>
          <w:lang w:val="sq-AL"/>
        </w:rPr>
        <w:t xml:space="preserve">, me datën </w:t>
      </w:r>
      <w:r w:rsidR="00AF0847" w:rsidRPr="00837ED3">
        <w:rPr>
          <w:rFonts w:ascii="Times New Roman" w:eastAsia="Calibri" w:hAnsi="Times New Roman"/>
          <w:sz w:val="24"/>
          <w:szCs w:val="24"/>
          <w:lang w:val="sq-AL"/>
        </w:rPr>
        <w:t>18.10.2022</w:t>
      </w:r>
      <w:r w:rsidR="0082767A" w:rsidRPr="00837ED3">
        <w:rPr>
          <w:rFonts w:ascii="Times New Roman" w:eastAsia="Calibri" w:hAnsi="Times New Roman"/>
          <w:sz w:val="24"/>
          <w:szCs w:val="24"/>
          <w:lang w:val="sq-AL"/>
        </w:rPr>
        <w:t xml:space="preserve">. </w:t>
      </w:r>
      <w:r w:rsidR="00D86407" w:rsidRPr="00837ED3">
        <w:rPr>
          <w:rFonts w:ascii="Times New Roman" w:eastAsia="Calibri" w:hAnsi="Times New Roman"/>
          <w:sz w:val="24"/>
          <w:szCs w:val="24"/>
          <w:lang w:val="sq-AL"/>
        </w:rPr>
        <w:t xml:space="preserve">Ndërsa </w:t>
      </w:r>
      <w:r w:rsidR="0082767A" w:rsidRPr="00837ED3">
        <w:rPr>
          <w:rFonts w:ascii="Times New Roman" w:eastAsia="Calibri" w:hAnsi="Times New Roman"/>
          <w:sz w:val="24"/>
          <w:szCs w:val="24"/>
          <w:lang w:val="sq-AL"/>
        </w:rPr>
        <w:t xml:space="preserve">është aprovua </w:t>
      </w:r>
      <w:r w:rsidR="00D86407" w:rsidRPr="00837ED3">
        <w:rPr>
          <w:rFonts w:ascii="Times New Roman" w:eastAsia="Calibri" w:hAnsi="Times New Roman"/>
          <w:sz w:val="24"/>
          <w:szCs w:val="24"/>
          <w:lang w:val="sq-AL"/>
        </w:rPr>
        <w:t xml:space="preserve">nga Ministri me datën </w:t>
      </w:r>
      <w:r w:rsidR="008224EB" w:rsidRPr="00837ED3">
        <w:rPr>
          <w:rFonts w:ascii="Times New Roman" w:eastAsia="Calibri" w:hAnsi="Times New Roman"/>
          <w:sz w:val="24"/>
          <w:szCs w:val="24"/>
          <w:lang w:val="sq-AL"/>
        </w:rPr>
        <w:t>24.10.2022</w:t>
      </w:r>
      <w:r w:rsidR="0082767A" w:rsidRPr="00837ED3">
        <w:rPr>
          <w:rFonts w:ascii="Times New Roman" w:eastAsia="Calibri" w:hAnsi="Times New Roman"/>
          <w:sz w:val="24"/>
          <w:szCs w:val="24"/>
          <w:lang w:val="sq-AL"/>
        </w:rPr>
        <w:t>.</w:t>
      </w:r>
    </w:p>
    <w:p w14:paraId="0157248B" w14:textId="77777777" w:rsidR="0082767A" w:rsidRPr="00837ED3" w:rsidRDefault="0082767A" w:rsidP="0082767A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</w:p>
    <w:p w14:paraId="072198B7" w14:textId="77777777" w:rsidR="0082767A" w:rsidRPr="00837ED3" w:rsidRDefault="0082767A" w:rsidP="008276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837ED3">
        <w:rPr>
          <w:rFonts w:ascii="Times New Roman" w:eastAsia="Calibri" w:hAnsi="Times New Roman"/>
          <w:sz w:val="24"/>
          <w:szCs w:val="24"/>
          <w:lang w:val="sq-AL"/>
        </w:rPr>
        <w:lastRenderedPageBreak/>
        <w:t xml:space="preserve">Ne vijim gjeni shtojcën me </w:t>
      </w:r>
      <w:r w:rsidRPr="00837ED3">
        <w:rPr>
          <w:rFonts w:ascii="Times New Roman" w:eastAsia="Calibri" w:hAnsi="Times New Roman"/>
          <w:b/>
          <w:sz w:val="24"/>
          <w:szCs w:val="24"/>
          <w:lang w:val="sq-AL"/>
        </w:rPr>
        <w:t xml:space="preserve">Tabelën e detajuar me informatat për </w:t>
      </w:r>
      <w:proofErr w:type="spellStart"/>
      <w:r w:rsidRPr="00837ED3">
        <w:rPr>
          <w:rFonts w:ascii="Times New Roman" w:eastAsia="Calibri" w:hAnsi="Times New Roman"/>
          <w:b/>
          <w:sz w:val="24"/>
          <w:szCs w:val="24"/>
          <w:lang w:val="sq-AL"/>
        </w:rPr>
        <w:t>kontribuesit</w:t>
      </w:r>
      <w:proofErr w:type="spellEnd"/>
      <w:r w:rsidRPr="00837ED3">
        <w:rPr>
          <w:rFonts w:ascii="Times New Roman" w:eastAsia="Calibri" w:hAnsi="Times New Roman"/>
          <w:b/>
          <w:sz w:val="24"/>
          <w:szCs w:val="24"/>
          <w:lang w:val="sq-AL"/>
        </w:rPr>
        <w:t>, arsyetimet për përgjigjet e pranuara dhe të refuzuara.</w:t>
      </w:r>
      <w:r w:rsidRPr="00837ED3">
        <w:rPr>
          <w:rFonts w:ascii="Times New Roman" w:eastAsia="Calibri" w:hAnsi="Times New Roman"/>
          <w:sz w:val="24"/>
          <w:szCs w:val="24"/>
          <w:lang w:val="sq-AL"/>
        </w:rPr>
        <w:t xml:space="preserve">  </w:t>
      </w:r>
    </w:p>
    <w:p w14:paraId="2EEC66C2" w14:textId="77777777" w:rsidR="0082767A" w:rsidRPr="00837ED3" w:rsidRDefault="0082767A" w:rsidP="0082767A">
      <w:pPr>
        <w:spacing w:after="0" w:line="240" w:lineRule="auto"/>
        <w:rPr>
          <w:rFonts w:ascii="Times New Roman" w:eastAsia="Calibri" w:hAnsi="Times New Roman"/>
          <w:sz w:val="24"/>
          <w:szCs w:val="24"/>
          <w:lang w:val="sq-AL"/>
        </w:rPr>
      </w:pPr>
    </w:p>
    <w:tbl>
      <w:tblPr>
        <w:tblW w:w="5000" w:type="pct"/>
        <w:tblLook w:val="0420" w:firstRow="1" w:lastRow="0" w:firstColumn="0" w:lastColumn="0" w:noHBand="0" w:noVBand="1"/>
      </w:tblPr>
      <w:tblGrid>
        <w:gridCol w:w="1378"/>
        <w:gridCol w:w="535"/>
        <w:gridCol w:w="2484"/>
        <w:gridCol w:w="404"/>
        <w:gridCol w:w="2508"/>
        <w:gridCol w:w="408"/>
        <w:gridCol w:w="1643"/>
      </w:tblGrid>
      <w:tr w:rsidR="00837ED3" w:rsidRPr="00837ED3" w14:paraId="4DF13303" w14:textId="77777777" w:rsidTr="00103C36">
        <w:trPr>
          <w:trHeight w:val="1582"/>
        </w:trPr>
        <w:tc>
          <w:tcPr>
            <w:tcW w:w="847" w:type="pct"/>
            <w:gridSpan w:val="2"/>
            <w:shd w:val="clear" w:color="auto" w:fill="FBE4D5"/>
            <w:hideMark/>
          </w:tcPr>
          <w:p w14:paraId="3E2EE5A3" w14:textId="77777777" w:rsidR="0082767A" w:rsidRPr="00837ED3" w:rsidRDefault="0082767A" w:rsidP="00EB76CD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val="sq-AL"/>
              </w:rPr>
            </w:pPr>
            <w:r w:rsidRPr="00837ED3">
              <w:rPr>
                <w:rFonts w:ascii="Times New Roman" w:eastAsia="MS Mincho" w:hAnsi="Times New Roman"/>
                <w:b/>
                <w:bCs/>
                <w:lang w:val="sq-AL"/>
              </w:rPr>
              <w:t>Emri   i organizatës /individit</w:t>
            </w:r>
          </w:p>
        </w:tc>
        <w:tc>
          <w:tcPr>
            <w:tcW w:w="1613" w:type="pct"/>
            <w:gridSpan w:val="2"/>
            <w:shd w:val="clear" w:color="auto" w:fill="FBE4D5"/>
            <w:hideMark/>
          </w:tcPr>
          <w:p w14:paraId="282C6ACB" w14:textId="77777777" w:rsidR="0082767A" w:rsidRPr="00837ED3" w:rsidRDefault="0082767A" w:rsidP="00EB76CD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val="sq-AL"/>
              </w:rPr>
            </w:pPr>
            <w:r w:rsidRPr="00837ED3">
              <w:rPr>
                <w:rFonts w:ascii="Times New Roman" w:eastAsia="MS Mincho" w:hAnsi="Times New Roman"/>
                <w:b/>
                <w:bCs/>
                <w:lang w:val="sq-AL"/>
              </w:rPr>
              <w:t>Koment i organizatës /individit</w:t>
            </w:r>
          </w:p>
        </w:tc>
        <w:tc>
          <w:tcPr>
            <w:tcW w:w="1375" w:type="pct"/>
            <w:shd w:val="clear" w:color="auto" w:fill="FBE4D5"/>
            <w:hideMark/>
          </w:tcPr>
          <w:p w14:paraId="4B09B9A6" w14:textId="77777777" w:rsidR="0082767A" w:rsidRPr="00837ED3" w:rsidRDefault="0082767A" w:rsidP="00EB76CD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val="sq-AL"/>
              </w:rPr>
            </w:pPr>
            <w:r w:rsidRPr="00837ED3">
              <w:rPr>
                <w:rFonts w:ascii="Times New Roman" w:eastAsia="MS Mincho" w:hAnsi="Times New Roman"/>
                <w:b/>
                <w:bCs/>
                <w:lang w:val="sq-AL"/>
              </w:rPr>
              <w:t>Përgjigja nga Ministria</w:t>
            </w:r>
          </w:p>
          <w:p w14:paraId="4F23EF38" w14:textId="77777777" w:rsidR="0082767A" w:rsidRPr="00837ED3" w:rsidRDefault="0082767A" w:rsidP="00EB76CD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val="sq-AL"/>
              </w:rPr>
            </w:pPr>
            <w:r w:rsidRPr="00837ED3">
              <w:rPr>
                <w:rFonts w:ascii="Times New Roman" w:eastAsia="MS Mincho" w:hAnsi="Times New Roman"/>
                <w:b/>
                <w:bCs/>
                <w:lang w:val="sq-AL"/>
              </w:rPr>
              <w:t>E pranuar plotësisht</w:t>
            </w:r>
          </w:p>
          <w:p w14:paraId="309D0FFC" w14:textId="77777777" w:rsidR="0082767A" w:rsidRPr="00837ED3" w:rsidRDefault="0082767A" w:rsidP="00EB76CD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val="sq-AL"/>
              </w:rPr>
            </w:pPr>
            <w:r w:rsidRPr="00837ED3">
              <w:rPr>
                <w:rFonts w:ascii="Times New Roman" w:eastAsia="MS Mincho" w:hAnsi="Times New Roman"/>
                <w:b/>
                <w:bCs/>
                <w:lang w:val="sq-AL"/>
              </w:rPr>
              <w:t xml:space="preserve">E pranuar pjesërisht </w:t>
            </w:r>
          </w:p>
          <w:p w14:paraId="147B0BD1" w14:textId="77777777" w:rsidR="0082767A" w:rsidRPr="00837ED3" w:rsidRDefault="0082767A" w:rsidP="00EB76CD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val="sq-AL"/>
              </w:rPr>
            </w:pPr>
            <w:r w:rsidRPr="00837ED3">
              <w:rPr>
                <w:rFonts w:ascii="Times New Roman" w:eastAsia="MS Mincho" w:hAnsi="Times New Roman"/>
                <w:b/>
                <w:bCs/>
                <w:lang w:val="sq-AL"/>
              </w:rPr>
              <w:t>E refuzuar</w:t>
            </w:r>
          </w:p>
          <w:p w14:paraId="4F811F86" w14:textId="77777777" w:rsidR="0082767A" w:rsidRPr="00837ED3" w:rsidRDefault="0082767A" w:rsidP="00EB76CD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val="sq-AL"/>
              </w:rPr>
            </w:pPr>
          </w:p>
        </w:tc>
        <w:tc>
          <w:tcPr>
            <w:tcW w:w="1165" w:type="pct"/>
            <w:gridSpan w:val="2"/>
            <w:shd w:val="clear" w:color="auto" w:fill="FBE4D5"/>
            <w:hideMark/>
          </w:tcPr>
          <w:p w14:paraId="27A34647" w14:textId="77777777" w:rsidR="0082767A" w:rsidRPr="00837ED3" w:rsidRDefault="0082767A" w:rsidP="00EB76CD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val="sq-AL"/>
              </w:rPr>
            </w:pPr>
            <w:r w:rsidRPr="00837ED3">
              <w:rPr>
                <w:rFonts w:ascii="Times New Roman" w:eastAsia="MS Mincho" w:hAnsi="Times New Roman"/>
                <w:b/>
                <w:bCs/>
                <w:lang w:val="sq-AL"/>
              </w:rPr>
              <w:t xml:space="preserve">Sqarim nga Ministria </w:t>
            </w:r>
          </w:p>
          <w:p w14:paraId="3DCBC92A" w14:textId="77777777" w:rsidR="0082767A" w:rsidRPr="00837ED3" w:rsidRDefault="0082767A" w:rsidP="00EB76CD">
            <w:pPr>
              <w:tabs>
                <w:tab w:val="left" w:pos="2556"/>
              </w:tabs>
              <w:spacing w:after="0" w:line="240" w:lineRule="auto"/>
              <w:ind w:right="541"/>
              <w:rPr>
                <w:rFonts w:ascii="Times New Roman" w:eastAsia="MS Mincho" w:hAnsi="Times New Roman"/>
                <w:b/>
                <w:bCs/>
                <w:lang w:val="sq-AL"/>
              </w:rPr>
            </w:pPr>
            <w:r w:rsidRPr="00837ED3">
              <w:rPr>
                <w:rFonts w:ascii="Times New Roman" w:eastAsia="MS Mincho" w:hAnsi="Times New Roman"/>
                <w:b/>
                <w:bCs/>
                <w:lang w:val="sq-AL"/>
              </w:rPr>
              <w:t>(veçanërisht arsyet për të mos pranuar komente të caktuara)</w:t>
            </w:r>
          </w:p>
        </w:tc>
      </w:tr>
      <w:tr w:rsidR="00837ED3" w:rsidRPr="00837ED3" w14:paraId="28355DC2" w14:textId="77777777" w:rsidTr="00103C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2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9EA4A9F" w14:textId="77777777" w:rsidR="00103C36" w:rsidRPr="00837ED3" w:rsidRDefault="00103C36" w:rsidP="00EB76C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val="sq-AL"/>
              </w:rPr>
            </w:pPr>
            <w:proofErr w:type="spellStart"/>
            <w:r w:rsidRPr="00837ED3">
              <w:rPr>
                <w:rFonts w:ascii="Times New Roman" w:eastAsia="MS Mincho" w:hAnsi="Times New Roman"/>
                <w:b/>
                <w:lang w:val="sq-AL"/>
              </w:rPr>
              <w:t>Respodentët</w:t>
            </w:r>
            <w:proofErr w:type="spellEnd"/>
          </w:p>
        </w:tc>
        <w:tc>
          <w:tcPr>
            <w:tcW w:w="1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14:paraId="05997761" w14:textId="77777777" w:rsidR="00103C36" w:rsidRPr="00837ED3" w:rsidRDefault="00AF0847" w:rsidP="00EB76C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val="sq-AL"/>
              </w:rPr>
            </w:pPr>
            <w:r w:rsidRPr="00837ED3">
              <w:rPr>
                <w:rFonts w:ascii="Times New Roman" w:eastAsia="MS Mincho" w:hAnsi="Times New Roman"/>
                <w:b/>
                <w:lang w:val="sq-AL"/>
              </w:rPr>
              <w:t>ZL/ZKM/</w:t>
            </w:r>
          </w:p>
          <w:p w14:paraId="6300DB2D" w14:textId="77777777" w:rsidR="00AF0847" w:rsidRPr="00837ED3" w:rsidRDefault="00AF0847" w:rsidP="00EB76C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val="sq-AL"/>
              </w:rPr>
            </w:pPr>
            <w:r w:rsidRPr="00837ED3">
              <w:rPr>
                <w:rFonts w:ascii="Times New Roman" w:eastAsia="MS Mincho" w:hAnsi="Times New Roman"/>
                <w:b/>
                <w:lang w:val="sq-AL"/>
              </w:rPr>
              <w:t>MAPL</w:t>
            </w:r>
          </w:p>
          <w:p w14:paraId="5C3DAEB2" w14:textId="4A2B062F" w:rsidR="00AF0847" w:rsidRPr="00837ED3" w:rsidRDefault="00AF0847" w:rsidP="00EB76C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val="sq-AL"/>
              </w:rPr>
            </w:pPr>
            <w:r w:rsidRPr="00837ED3">
              <w:rPr>
                <w:rFonts w:ascii="Times New Roman" w:eastAsia="MS Mincho" w:hAnsi="Times New Roman"/>
                <w:b/>
                <w:lang w:val="sq-AL"/>
              </w:rPr>
              <w:t>Armend Cana - AUV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4563C2F2" w14:textId="77777777" w:rsidR="00103C36" w:rsidRPr="00837ED3" w:rsidRDefault="00103C36" w:rsidP="00EB76C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val="sq-AL"/>
              </w:rPr>
            </w:pPr>
            <w:r w:rsidRPr="00837ED3">
              <w:rPr>
                <w:rFonts w:ascii="Times New Roman" w:eastAsia="MS Mincho" w:hAnsi="Times New Roman"/>
                <w:b/>
                <w:lang w:val="sq-AL"/>
              </w:rPr>
              <w:t xml:space="preserve">Arsyetimi i organit propozues për përfshirje apo mos përfshirje të komentit të dhënë –MBPZHR 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14:paraId="1F3AA76A" w14:textId="77777777" w:rsidR="00103C36" w:rsidRPr="00837ED3" w:rsidRDefault="00103C36" w:rsidP="00EB76C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val="sq-AL"/>
              </w:rPr>
            </w:pPr>
            <w:r w:rsidRPr="00837ED3">
              <w:rPr>
                <w:rFonts w:ascii="Times New Roman" w:eastAsia="MS Mincho" w:hAnsi="Times New Roman"/>
                <w:b/>
                <w:lang w:val="sq-AL"/>
              </w:rPr>
              <w:t>Komente shtesë</w:t>
            </w:r>
          </w:p>
        </w:tc>
      </w:tr>
      <w:tr w:rsidR="00837ED3" w:rsidRPr="00837ED3" w14:paraId="4300140F" w14:textId="77777777" w:rsidTr="00103C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437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25AA38F" w14:textId="77777777" w:rsidR="00103C36" w:rsidRPr="00837ED3" w:rsidRDefault="00103C36" w:rsidP="00EB76CD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lang w:val="sq-AL"/>
              </w:rPr>
            </w:pPr>
          </w:p>
          <w:p w14:paraId="7EDBC1F1" w14:textId="77777777" w:rsidR="00103C36" w:rsidRPr="00837ED3" w:rsidRDefault="00103C36" w:rsidP="00EB76CD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lang w:val="sq-AL"/>
              </w:rPr>
            </w:pPr>
            <w:r w:rsidRPr="00837ED3">
              <w:rPr>
                <w:rFonts w:ascii="Times New Roman" w:eastAsia="MS Mincho" w:hAnsi="Times New Roman"/>
                <w:b/>
                <w:lang w:val="sq-AL"/>
              </w:rPr>
              <w:t>Çështjet Kyçe 1</w:t>
            </w:r>
          </w:p>
          <w:p w14:paraId="1BC461F8" w14:textId="77777777" w:rsidR="00AF0847" w:rsidRPr="00837ED3" w:rsidRDefault="00AF0847" w:rsidP="00EB76CD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lang w:val="sq-AL"/>
              </w:rPr>
            </w:pPr>
          </w:p>
          <w:p w14:paraId="0C0EB6E0" w14:textId="77777777" w:rsidR="00AF0847" w:rsidRPr="00837ED3" w:rsidRDefault="00AF0847" w:rsidP="00EB76CD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lang w:val="sq-AL"/>
              </w:rPr>
            </w:pPr>
          </w:p>
          <w:p w14:paraId="1F4F50C6" w14:textId="77777777" w:rsidR="00AF0847" w:rsidRPr="00837ED3" w:rsidRDefault="00AF0847" w:rsidP="00EB76CD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lang w:val="sq-AL"/>
              </w:rPr>
            </w:pPr>
            <w:r w:rsidRPr="00837ED3">
              <w:rPr>
                <w:rFonts w:ascii="Times New Roman" w:eastAsia="MS Mincho" w:hAnsi="Times New Roman"/>
                <w:b/>
                <w:lang w:val="sq-AL"/>
              </w:rPr>
              <w:t xml:space="preserve">Çështjet Kyçe </w:t>
            </w:r>
            <w:r w:rsidRPr="00837ED3">
              <w:rPr>
                <w:rFonts w:ascii="Times New Roman" w:eastAsia="MS Mincho" w:hAnsi="Times New Roman"/>
                <w:b/>
                <w:lang w:val="sq-AL"/>
              </w:rPr>
              <w:t>2</w:t>
            </w:r>
          </w:p>
          <w:p w14:paraId="1A045705" w14:textId="77777777" w:rsidR="00AF0847" w:rsidRPr="00837ED3" w:rsidRDefault="00AF0847" w:rsidP="00EB76CD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lang w:val="sq-AL"/>
              </w:rPr>
            </w:pPr>
          </w:p>
          <w:p w14:paraId="7BE08030" w14:textId="77777777" w:rsidR="00AF0847" w:rsidRPr="00837ED3" w:rsidRDefault="00AF0847" w:rsidP="00EB76CD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lang w:val="sq-AL"/>
              </w:rPr>
            </w:pPr>
          </w:p>
          <w:p w14:paraId="0A4174C0" w14:textId="78ECF3AA" w:rsidR="00AF0847" w:rsidRPr="00837ED3" w:rsidRDefault="00AF0847" w:rsidP="00EB76CD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lang w:val="sq-AL"/>
              </w:rPr>
            </w:pPr>
            <w:r w:rsidRPr="00837ED3">
              <w:rPr>
                <w:rFonts w:ascii="Times New Roman" w:eastAsia="MS Mincho" w:hAnsi="Times New Roman"/>
                <w:b/>
                <w:lang w:val="sq-AL"/>
              </w:rPr>
              <w:t xml:space="preserve">Çështjet Kyçe </w:t>
            </w:r>
            <w:r w:rsidRPr="00837ED3">
              <w:rPr>
                <w:rFonts w:ascii="Times New Roman" w:eastAsia="MS Mincho" w:hAnsi="Times New Roman"/>
                <w:b/>
                <w:lang w:val="sq-AL"/>
              </w:rPr>
              <w:t>3</w:t>
            </w:r>
          </w:p>
        </w:tc>
        <w:tc>
          <w:tcPr>
            <w:tcW w:w="1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B12593" w14:textId="413547AD" w:rsidR="00103C36" w:rsidRPr="00837ED3" w:rsidRDefault="00AF0847" w:rsidP="00EB76CD">
            <w:pPr>
              <w:spacing w:after="0" w:line="240" w:lineRule="auto"/>
              <w:jc w:val="both"/>
              <w:rPr>
                <w:rFonts w:ascii="Times New Roman" w:hAnsi="Times New Roman"/>
                <w:lang w:val="sq-AL"/>
              </w:rPr>
            </w:pPr>
            <w:r w:rsidRPr="00837ED3">
              <w:rPr>
                <w:rFonts w:ascii="Times New Roman" w:hAnsi="Times New Roman"/>
                <w:lang w:val="sq-AL"/>
              </w:rPr>
              <w:t>Projekt – fshihet</w:t>
            </w:r>
          </w:p>
          <w:p w14:paraId="00770CA1" w14:textId="20F74DE9" w:rsidR="00AF0847" w:rsidRPr="00837ED3" w:rsidRDefault="00AF0847" w:rsidP="00EB76CD">
            <w:pPr>
              <w:spacing w:after="0" w:line="240" w:lineRule="auto"/>
              <w:jc w:val="both"/>
              <w:rPr>
                <w:rFonts w:ascii="Times New Roman" w:hAnsi="Times New Roman"/>
                <w:lang w:val="sq-AL"/>
              </w:rPr>
            </w:pPr>
            <w:proofErr w:type="spellStart"/>
            <w:r w:rsidRPr="00837ED3">
              <w:rPr>
                <w:rFonts w:ascii="Times New Roman" w:hAnsi="Times New Roman"/>
                <w:lang w:val="sq-AL"/>
              </w:rPr>
              <w:t>Dodatak</w:t>
            </w:r>
            <w:proofErr w:type="spellEnd"/>
            <w:r w:rsidRPr="00837ED3">
              <w:rPr>
                <w:rFonts w:ascii="Times New Roman" w:hAnsi="Times New Roman"/>
                <w:lang w:val="sq-AL"/>
              </w:rPr>
              <w:t xml:space="preserve"> – </w:t>
            </w:r>
            <w:proofErr w:type="spellStart"/>
            <w:r w:rsidRPr="00837ED3">
              <w:rPr>
                <w:rFonts w:ascii="Times New Roman" w:hAnsi="Times New Roman"/>
                <w:lang w:val="sq-AL"/>
              </w:rPr>
              <w:t>Prilog</w:t>
            </w:r>
            <w:proofErr w:type="spellEnd"/>
          </w:p>
          <w:p w14:paraId="785FF4B4" w14:textId="77777777" w:rsidR="00AF0847" w:rsidRPr="00837ED3" w:rsidRDefault="00AF0847" w:rsidP="00EB76CD">
            <w:pPr>
              <w:spacing w:after="0" w:line="240" w:lineRule="auto"/>
              <w:jc w:val="both"/>
              <w:rPr>
                <w:rFonts w:ascii="Times New Roman" w:hAnsi="Times New Roman"/>
                <w:lang w:val="sq-AL"/>
              </w:rPr>
            </w:pPr>
          </w:p>
          <w:p w14:paraId="4C70351B" w14:textId="77777777" w:rsidR="00AF0847" w:rsidRPr="00837ED3" w:rsidRDefault="00AF0847" w:rsidP="00EB76CD">
            <w:pPr>
              <w:spacing w:after="0" w:line="240" w:lineRule="auto"/>
              <w:jc w:val="both"/>
              <w:rPr>
                <w:rFonts w:ascii="Times New Roman" w:hAnsi="Times New Roman"/>
                <w:lang w:val="sq-AL"/>
              </w:rPr>
            </w:pPr>
          </w:p>
          <w:p w14:paraId="690C7A2C" w14:textId="77777777" w:rsidR="00AF0847" w:rsidRPr="00837ED3" w:rsidRDefault="00AF0847" w:rsidP="00EB76CD">
            <w:pPr>
              <w:spacing w:after="0" w:line="240" w:lineRule="auto"/>
              <w:jc w:val="both"/>
              <w:rPr>
                <w:rFonts w:ascii="Times New Roman" w:hAnsi="Times New Roman"/>
                <w:lang w:val="sq-AL"/>
              </w:rPr>
            </w:pPr>
            <w:r w:rsidRPr="00837ED3">
              <w:rPr>
                <w:rFonts w:ascii="Times New Roman" w:hAnsi="Times New Roman"/>
                <w:lang w:val="sq-AL"/>
              </w:rPr>
              <w:t xml:space="preserve">Akti është në harmoni me legjislacion bazë për vetëqeverisje lokale </w:t>
            </w:r>
          </w:p>
          <w:p w14:paraId="0B9B1EEC" w14:textId="77777777" w:rsidR="00AF0847" w:rsidRPr="00837ED3" w:rsidRDefault="00AF0847" w:rsidP="00EB76CD">
            <w:pPr>
              <w:spacing w:after="0" w:line="240" w:lineRule="auto"/>
              <w:jc w:val="both"/>
              <w:rPr>
                <w:rFonts w:ascii="Times New Roman" w:hAnsi="Times New Roman"/>
                <w:lang w:val="sq-AL"/>
              </w:rPr>
            </w:pPr>
          </w:p>
          <w:p w14:paraId="5D962379" w14:textId="77777777" w:rsidR="00AF0847" w:rsidRPr="00837ED3" w:rsidRDefault="00AF0847" w:rsidP="00EB76CD">
            <w:pPr>
              <w:spacing w:after="0" w:line="240" w:lineRule="auto"/>
              <w:jc w:val="both"/>
              <w:rPr>
                <w:rFonts w:ascii="Times New Roman" w:hAnsi="Times New Roman"/>
                <w:lang w:val="sq-AL"/>
              </w:rPr>
            </w:pPr>
          </w:p>
          <w:p w14:paraId="3827877B" w14:textId="77777777" w:rsidR="00AF0847" w:rsidRPr="00837ED3" w:rsidRDefault="00AF0847" w:rsidP="00EB76CD">
            <w:pPr>
              <w:spacing w:after="0" w:line="240" w:lineRule="auto"/>
              <w:jc w:val="both"/>
              <w:rPr>
                <w:rFonts w:ascii="Times New Roman" w:hAnsi="Times New Roman"/>
                <w:lang w:val="sq-AL"/>
              </w:rPr>
            </w:pPr>
            <w:r w:rsidRPr="00837ED3">
              <w:rPr>
                <w:rFonts w:ascii="Times New Roman" w:hAnsi="Times New Roman"/>
                <w:lang w:val="sq-AL"/>
              </w:rPr>
              <w:t xml:space="preserve">Të përcaktohet kohëzgjatja e mbarështimit te kafshëve </w:t>
            </w:r>
          </w:p>
          <w:p w14:paraId="18BCAF09" w14:textId="77777777" w:rsidR="00AF0847" w:rsidRPr="00837ED3" w:rsidRDefault="00AF0847" w:rsidP="00EB76CD">
            <w:pPr>
              <w:spacing w:after="0" w:line="240" w:lineRule="auto"/>
              <w:jc w:val="both"/>
              <w:rPr>
                <w:rFonts w:ascii="Times New Roman" w:hAnsi="Times New Roman"/>
                <w:lang w:val="sq-AL"/>
              </w:rPr>
            </w:pPr>
          </w:p>
          <w:p w14:paraId="06DFA8A1" w14:textId="16274501" w:rsidR="00AF0847" w:rsidRPr="00837ED3" w:rsidRDefault="00AF0847" w:rsidP="00EB76CD">
            <w:pPr>
              <w:spacing w:after="0" w:line="240" w:lineRule="auto"/>
              <w:jc w:val="both"/>
              <w:rPr>
                <w:rFonts w:ascii="Times New Roman" w:hAnsi="Times New Roman"/>
                <w:lang w:val="sq-AL"/>
              </w:rPr>
            </w:pPr>
            <w:r w:rsidRPr="00837ED3">
              <w:rPr>
                <w:rFonts w:ascii="Times New Roman" w:hAnsi="Times New Roman"/>
                <w:lang w:val="sq-AL"/>
              </w:rPr>
              <w:t xml:space="preserve">Riformulohet neni 6 paragrafi 2.1. (2.1.1.) , paragrafi 3 (3.1) dhe 4 (4.1)  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54D525" w14:textId="475B8814" w:rsidR="00103C36" w:rsidRPr="00837ED3" w:rsidRDefault="00AF0847" w:rsidP="00BF6A55">
            <w:pPr>
              <w:tabs>
                <w:tab w:val="num" w:pos="630"/>
              </w:tabs>
              <w:spacing w:after="0" w:line="240" w:lineRule="auto"/>
              <w:ind w:right="-5"/>
              <w:rPr>
                <w:rFonts w:ascii="Times New Roman" w:hAnsi="Times New Roman"/>
                <w:lang w:val="sq-AL"/>
              </w:rPr>
            </w:pPr>
            <w:r w:rsidRPr="00837ED3">
              <w:rPr>
                <w:rFonts w:ascii="Times New Roman" w:hAnsi="Times New Roman"/>
                <w:lang w:val="sq-AL"/>
              </w:rPr>
              <w:t xml:space="preserve">Pranohet </w:t>
            </w:r>
            <w:r w:rsidR="00103C36" w:rsidRPr="00837ED3">
              <w:rPr>
                <w:rFonts w:ascii="Times New Roman" w:hAnsi="Times New Roman"/>
                <w:lang w:val="sq-AL"/>
              </w:rPr>
              <w:t>komenti</w:t>
            </w:r>
          </w:p>
          <w:p w14:paraId="4A81D02C" w14:textId="77777777" w:rsidR="00103C36" w:rsidRPr="00837ED3" w:rsidRDefault="00103C36" w:rsidP="00EB76CD">
            <w:pPr>
              <w:tabs>
                <w:tab w:val="num" w:pos="630"/>
              </w:tabs>
              <w:spacing w:after="0" w:line="240" w:lineRule="auto"/>
              <w:ind w:left="630" w:right="-5"/>
              <w:jc w:val="both"/>
              <w:rPr>
                <w:rFonts w:ascii="Times New Roman" w:hAnsi="Times New Roman"/>
                <w:lang w:val="sq-AL"/>
              </w:rPr>
            </w:pPr>
          </w:p>
          <w:p w14:paraId="6EC9DF98" w14:textId="77777777" w:rsidR="00AF0847" w:rsidRPr="00837ED3" w:rsidRDefault="00AF0847" w:rsidP="00BF6A55">
            <w:pPr>
              <w:tabs>
                <w:tab w:val="num" w:pos="630"/>
              </w:tabs>
              <w:spacing w:after="0" w:line="240" w:lineRule="auto"/>
              <w:ind w:right="-5"/>
              <w:rPr>
                <w:rFonts w:ascii="Times New Roman" w:hAnsi="Times New Roman"/>
                <w:lang w:val="sq-AL"/>
              </w:rPr>
            </w:pPr>
            <w:r w:rsidRPr="00837ED3">
              <w:rPr>
                <w:rFonts w:ascii="Times New Roman" w:hAnsi="Times New Roman"/>
                <w:lang w:val="sq-AL"/>
              </w:rPr>
              <w:t>Pranohet komenti</w:t>
            </w:r>
          </w:p>
          <w:p w14:paraId="5193C866" w14:textId="77777777" w:rsidR="00AF0847" w:rsidRPr="00837ED3" w:rsidRDefault="00AF0847" w:rsidP="00AF0847">
            <w:pPr>
              <w:tabs>
                <w:tab w:val="num" w:pos="630"/>
              </w:tabs>
              <w:spacing w:after="0" w:line="240" w:lineRule="auto"/>
              <w:ind w:left="630" w:right="-5"/>
              <w:jc w:val="both"/>
              <w:rPr>
                <w:rFonts w:ascii="Times New Roman" w:hAnsi="Times New Roman"/>
                <w:lang w:val="sq-AL"/>
              </w:rPr>
            </w:pPr>
          </w:p>
          <w:p w14:paraId="369229E7" w14:textId="77777777" w:rsidR="00103C36" w:rsidRPr="00837ED3" w:rsidRDefault="00103C36" w:rsidP="00EB76CD">
            <w:pPr>
              <w:tabs>
                <w:tab w:val="left" w:pos="180"/>
              </w:tabs>
              <w:spacing w:after="0" w:line="240" w:lineRule="auto"/>
              <w:ind w:left="-13" w:right="-5" w:firstLine="13"/>
              <w:jc w:val="both"/>
              <w:rPr>
                <w:rFonts w:ascii="Times New Roman" w:eastAsia="MS Mincho" w:hAnsi="Times New Roman"/>
                <w:lang w:val="sq-AL"/>
              </w:rPr>
            </w:pPr>
          </w:p>
          <w:p w14:paraId="5C0B7353" w14:textId="77777777" w:rsidR="00AF0847" w:rsidRPr="00837ED3" w:rsidRDefault="00AF0847" w:rsidP="00EB76CD">
            <w:pPr>
              <w:tabs>
                <w:tab w:val="left" w:pos="180"/>
              </w:tabs>
              <w:spacing w:after="0" w:line="240" w:lineRule="auto"/>
              <w:ind w:left="-13" w:right="-5" w:firstLine="13"/>
              <w:jc w:val="both"/>
              <w:rPr>
                <w:rFonts w:ascii="Times New Roman" w:eastAsia="MS Mincho" w:hAnsi="Times New Roman"/>
                <w:lang w:val="sq-AL"/>
              </w:rPr>
            </w:pPr>
          </w:p>
          <w:p w14:paraId="3B4D643D" w14:textId="77777777" w:rsidR="00AF0847" w:rsidRPr="00837ED3" w:rsidRDefault="00AF0847" w:rsidP="00EB76CD">
            <w:pPr>
              <w:tabs>
                <w:tab w:val="left" w:pos="180"/>
              </w:tabs>
              <w:spacing w:after="0" w:line="240" w:lineRule="auto"/>
              <w:ind w:left="-13" w:right="-5" w:firstLine="13"/>
              <w:jc w:val="both"/>
              <w:rPr>
                <w:rFonts w:ascii="Times New Roman" w:eastAsia="MS Mincho" w:hAnsi="Times New Roman"/>
                <w:lang w:val="sq-AL"/>
              </w:rPr>
            </w:pPr>
          </w:p>
          <w:p w14:paraId="020B360F" w14:textId="77777777" w:rsidR="00AF0847" w:rsidRPr="00837ED3" w:rsidRDefault="00AF0847" w:rsidP="00EB76CD">
            <w:pPr>
              <w:tabs>
                <w:tab w:val="left" w:pos="180"/>
              </w:tabs>
              <w:spacing w:after="0" w:line="240" w:lineRule="auto"/>
              <w:ind w:left="-13" w:right="-5" w:firstLine="13"/>
              <w:jc w:val="both"/>
              <w:rPr>
                <w:rFonts w:ascii="Times New Roman" w:eastAsia="MS Mincho" w:hAnsi="Times New Roman"/>
                <w:lang w:val="sq-AL"/>
              </w:rPr>
            </w:pPr>
          </w:p>
          <w:p w14:paraId="52A5EC3D" w14:textId="77777777" w:rsidR="00AF0847" w:rsidRPr="00837ED3" w:rsidRDefault="00AF0847" w:rsidP="00EB76CD">
            <w:pPr>
              <w:tabs>
                <w:tab w:val="left" w:pos="180"/>
              </w:tabs>
              <w:spacing w:after="0" w:line="240" w:lineRule="auto"/>
              <w:ind w:left="-13" w:right="-5" w:firstLine="13"/>
              <w:jc w:val="both"/>
              <w:rPr>
                <w:rFonts w:ascii="Times New Roman" w:eastAsia="MS Mincho" w:hAnsi="Times New Roman"/>
                <w:lang w:val="sq-AL"/>
              </w:rPr>
            </w:pPr>
          </w:p>
          <w:p w14:paraId="04A6C8D0" w14:textId="77777777" w:rsidR="00AF0847" w:rsidRPr="00837ED3" w:rsidRDefault="00AF0847" w:rsidP="00EB76CD">
            <w:pPr>
              <w:tabs>
                <w:tab w:val="left" w:pos="180"/>
              </w:tabs>
              <w:spacing w:after="0" w:line="240" w:lineRule="auto"/>
              <w:ind w:left="-13" w:right="-5" w:firstLine="13"/>
              <w:jc w:val="both"/>
              <w:rPr>
                <w:rFonts w:ascii="Times New Roman" w:eastAsia="MS Mincho" w:hAnsi="Times New Roman"/>
                <w:lang w:val="sq-AL"/>
              </w:rPr>
            </w:pPr>
            <w:r w:rsidRPr="00837ED3">
              <w:rPr>
                <w:rFonts w:ascii="Times New Roman" w:eastAsia="MS Mincho" w:hAnsi="Times New Roman"/>
                <w:lang w:val="sq-AL"/>
              </w:rPr>
              <w:t>Nuk pranohet komenti</w:t>
            </w:r>
          </w:p>
          <w:p w14:paraId="7DF29975" w14:textId="77777777" w:rsidR="00AF0847" w:rsidRPr="00837ED3" w:rsidRDefault="00AF0847" w:rsidP="00EB76CD">
            <w:pPr>
              <w:tabs>
                <w:tab w:val="left" w:pos="180"/>
              </w:tabs>
              <w:spacing w:after="0" w:line="240" w:lineRule="auto"/>
              <w:ind w:left="-13" w:right="-5" w:firstLine="13"/>
              <w:jc w:val="both"/>
              <w:rPr>
                <w:rFonts w:ascii="Times New Roman" w:eastAsia="MS Mincho" w:hAnsi="Times New Roman"/>
                <w:lang w:val="sq-AL"/>
              </w:rPr>
            </w:pPr>
          </w:p>
          <w:p w14:paraId="20B69355" w14:textId="77777777" w:rsidR="00AF0847" w:rsidRPr="00837ED3" w:rsidRDefault="00AF0847" w:rsidP="00EB76CD">
            <w:pPr>
              <w:tabs>
                <w:tab w:val="left" w:pos="180"/>
              </w:tabs>
              <w:spacing w:after="0" w:line="240" w:lineRule="auto"/>
              <w:ind w:left="-13" w:right="-5" w:firstLine="13"/>
              <w:jc w:val="both"/>
              <w:rPr>
                <w:rFonts w:ascii="Times New Roman" w:eastAsia="MS Mincho" w:hAnsi="Times New Roman"/>
                <w:lang w:val="sq-AL"/>
              </w:rPr>
            </w:pPr>
          </w:p>
          <w:p w14:paraId="173EF5DA" w14:textId="77777777" w:rsidR="00AF0847" w:rsidRPr="00837ED3" w:rsidRDefault="00AF0847" w:rsidP="00AF0847">
            <w:pPr>
              <w:tabs>
                <w:tab w:val="num" w:pos="630"/>
              </w:tabs>
              <w:spacing w:after="0" w:line="240" w:lineRule="auto"/>
              <w:ind w:right="-5"/>
              <w:rPr>
                <w:rFonts w:ascii="Times New Roman" w:hAnsi="Times New Roman"/>
                <w:lang w:val="sq-AL"/>
              </w:rPr>
            </w:pPr>
            <w:r w:rsidRPr="00837ED3">
              <w:rPr>
                <w:rFonts w:ascii="Times New Roman" w:hAnsi="Times New Roman"/>
                <w:lang w:val="sq-AL"/>
              </w:rPr>
              <w:t>Pranohet komenti</w:t>
            </w:r>
          </w:p>
          <w:p w14:paraId="711BF8C1" w14:textId="5EF60F52" w:rsidR="00AF0847" w:rsidRPr="00837ED3" w:rsidRDefault="00AF0847" w:rsidP="00EB76CD">
            <w:pPr>
              <w:tabs>
                <w:tab w:val="left" w:pos="180"/>
              </w:tabs>
              <w:spacing w:after="0" w:line="240" w:lineRule="auto"/>
              <w:ind w:left="-13" w:right="-5" w:firstLine="13"/>
              <w:jc w:val="both"/>
              <w:rPr>
                <w:rFonts w:ascii="Times New Roman" w:eastAsia="MS Mincho" w:hAnsi="Times New Roman"/>
                <w:lang w:val="sq-A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22FCF9" w14:textId="77777777" w:rsidR="00103C36" w:rsidRPr="00837ED3" w:rsidRDefault="00103C36" w:rsidP="00EB76C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sq-AL"/>
              </w:rPr>
            </w:pPr>
          </w:p>
          <w:p w14:paraId="2E4FB5D9" w14:textId="77777777" w:rsidR="00103C36" w:rsidRPr="00837ED3" w:rsidRDefault="00103C36" w:rsidP="00EB76C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sq-AL"/>
              </w:rPr>
            </w:pPr>
          </w:p>
        </w:tc>
      </w:tr>
    </w:tbl>
    <w:p w14:paraId="750E4F33" w14:textId="77777777" w:rsidR="00103C36" w:rsidRPr="00837ED3" w:rsidRDefault="00103C36" w:rsidP="00103C36">
      <w:pPr>
        <w:spacing w:after="0" w:line="240" w:lineRule="auto"/>
        <w:jc w:val="both"/>
        <w:rPr>
          <w:rFonts w:ascii="Times New Roman" w:eastAsia="Calibri" w:hAnsi="Times New Roman"/>
          <w:i/>
          <w:lang w:val="sq-AL"/>
        </w:rPr>
      </w:pPr>
    </w:p>
    <w:p w14:paraId="410149DE" w14:textId="77777777" w:rsidR="00103C36" w:rsidRPr="00837ED3" w:rsidRDefault="00103C36" w:rsidP="00103C36">
      <w:pPr>
        <w:spacing w:after="0" w:line="240" w:lineRule="auto"/>
        <w:jc w:val="both"/>
        <w:rPr>
          <w:rFonts w:ascii="Times New Roman" w:eastAsia="Calibri" w:hAnsi="Times New Roman"/>
          <w:i/>
          <w:lang w:val="sq-AL"/>
        </w:rPr>
      </w:pPr>
    </w:p>
    <w:p w14:paraId="697BAAAE" w14:textId="77777777" w:rsidR="00103C36" w:rsidRPr="00837ED3" w:rsidRDefault="00103C36" w:rsidP="00103C36">
      <w:pPr>
        <w:spacing w:after="0" w:line="240" w:lineRule="auto"/>
        <w:jc w:val="both"/>
        <w:rPr>
          <w:rFonts w:ascii="Times New Roman" w:eastAsia="Calibri" w:hAnsi="Times New Roman"/>
          <w:i/>
          <w:lang w:val="sq-AL"/>
        </w:rPr>
      </w:pPr>
    </w:p>
    <w:p w14:paraId="484FB7AB" w14:textId="77777777" w:rsidR="00103C36" w:rsidRPr="00837ED3" w:rsidRDefault="00103C36" w:rsidP="00103C36">
      <w:pPr>
        <w:spacing w:after="0" w:line="240" w:lineRule="auto"/>
        <w:jc w:val="both"/>
        <w:rPr>
          <w:rFonts w:ascii="Times New Roman" w:eastAsia="Calibri" w:hAnsi="Times New Roman"/>
          <w:i/>
          <w:lang w:val="sq-AL"/>
        </w:rPr>
      </w:pPr>
    </w:p>
    <w:p w14:paraId="3545E886" w14:textId="77777777" w:rsidR="00103C36" w:rsidRPr="00837ED3" w:rsidRDefault="00103C36" w:rsidP="00103C36">
      <w:pPr>
        <w:spacing w:after="0" w:line="240" w:lineRule="auto"/>
        <w:jc w:val="both"/>
        <w:rPr>
          <w:rFonts w:ascii="Times New Roman" w:eastAsia="Calibri" w:hAnsi="Times New Roman"/>
          <w:i/>
          <w:lang w:val="sq-AL"/>
        </w:rPr>
      </w:pPr>
    </w:p>
    <w:bookmarkEnd w:id="0"/>
    <w:p w14:paraId="5CFD4E5C" w14:textId="77777777" w:rsidR="00F449E6" w:rsidRPr="00837ED3" w:rsidRDefault="00F449E6"/>
    <w:sectPr w:rsidR="00F449E6" w:rsidRPr="00837ED3" w:rsidSect="00DA7351">
      <w:footerReference w:type="default" r:id="rId9"/>
      <w:pgSz w:w="12240" w:h="15840"/>
      <w:pgMar w:top="81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15F1" w14:textId="77777777" w:rsidR="00A019DF" w:rsidRDefault="00A019DF" w:rsidP="00A5428F">
      <w:pPr>
        <w:spacing w:after="0" w:line="240" w:lineRule="auto"/>
      </w:pPr>
      <w:r>
        <w:separator/>
      </w:r>
    </w:p>
  </w:endnote>
  <w:endnote w:type="continuationSeparator" w:id="0">
    <w:p w14:paraId="08FDF353" w14:textId="77777777" w:rsidR="00A019DF" w:rsidRDefault="00A019DF" w:rsidP="00A5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805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A7D358" w14:textId="0E3018AA" w:rsidR="00A5428F" w:rsidRDefault="00A542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3B5D7D" w14:textId="77777777" w:rsidR="00A5428F" w:rsidRDefault="00A54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E27FD" w14:textId="77777777" w:rsidR="00A019DF" w:rsidRDefault="00A019DF" w:rsidP="00A5428F">
      <w:pPr>
        <w:spacing w:after="0" w:line="240" w:lineRule="auto"/>
      </w:pPr>
      <w:r>
        <w:separator/>
      </w:r>
    </w:p>
  </w:footnote>
  <w:footnote w:type="continuationSeparator" w:id="0">
    <w:p w14:paraId="79AD401D" w14:textId="77777777" w:rsidR="00A019DF" w:rsidRDefault="00A019DF" w:rsidP="00A5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4BF2"/>
    <w:multiLevelType w:val="multilevel"/>
    <w:tmpl w:val="869233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trike w:val="0"/>
        <w:u w:val="none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5CE3F50"/>
    <w:multiLevelType w:val="multilevel"/>
    <w:tmpl w:val="CCA6791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9B"/>
    <w:rsid w:val="00096CB4"/>
    <w:rsid w:val="00103C36"/>
    <w:rsid w:val="00137591"/>
    <w:rsid w:val="00142FB3"/>
    <w:rsid w:val="001625EF"/>
    <w:rsid w:val="001967C4"/>
    <w:rsid w:val="002702B1"/>
    <w:rsid w:val="002B3FC5"/>
    <w:rsid w:val="00403C13"/>
    <w:rsid w:val="00407964"/>
    <w:rsid w:val="004C52F0"/>
    <w:rsid w:val="004E7689"/>
    <w:rsid w:val="005116D6"/>
    <w:rsid w:val="005246AB"/>
    <w:rsid w:val="005A1E28"/>
    <w:rsid w:val="005B2EBE"/>
    <w:rsid w:val="005C538A"/>
    <w:rsid w:val="005D5A4C"/>
    <w:rsid w:val="00650F35"/>
    <w:rsid w:val="00656153"/>
    <w:rsid w:val="00667E4B"/>
    <w:rsid w:val="006C6940"/>
    <w:rsid w:val="006D1942"/>
    <w:rsid w:val="007302CB"/>
    <w:rsid w:val="00771209"/>
    <w:rsid w:val="007F1C4D"/>
    <w:rsid w:val="007F2544"/>
    <w:rsid w:val="007F2F87"/>
    <w:rsid w:val="00814CF2"/>
    <w:rsid w:val="008224EB"/>
    <w:rsid w:val="0082767A"/>
    <w:rsid w:val="00837ED3"/>
    <w:rsid w:val="00875FC3"/>
    <w:rsid w:val="00891EED"/>
    <w:rsid w:val="00893068"/>
    <w:rsid w:val="008939B0"/>
    <w:rsid w:val="008A438E"/>
    <w:rsid w:val="008C6544"/>
    <w:rsid w:val="0092503D"/>
    <w:rsid w:val="009260ED"/>
    <w:rsid w:val="009809EE"/>
    <w:rsid w:val="009921A7"/>
    <w:rsid w:val="009E5307"/>
    <w:rsid w:val="00A019DF"/>
    <w:rsid w:val="00A5428F"/>
    <w:rsid w:val="00AA0B66"/>
    <w:rsid w:val="00AB74AA"/>
    <w:rsid w:val="00AD26F8"/>
    <w:rsid w:val="00AF0847"/>
    <w:rsid w:val="00B3219B"/>
    <w:rsid w:val="00B52E95"/>
    <w:rsid w:val="00B70A5A"/>
    <w:rsid w:val="00BD7ACD"/>
    <w:rsid w:val="00BF4961"/>
    <w:rsid w:val="00BF6A55"/>
    <w:rsid w:val="00C4046B"/>
    <w:rsid w:val="00C84099"/>
    <w:rsid w:val="00C96FFC"/>
    <w:rsid w:val="00CB0EA1"/>
    <w:rsid w:val="00D1061F"/>
    <w:rsid w:val="00D60002"/>
    <w:rsid w:val="00D729C0"/>
    <w:rsid w:val="00D86407"/>
    <w:rsid w:val="00D9431F"/>
    <w:rsid w:val="00DA7351"/>
    <w:rsid w:val="00DA78D4"/>
    <w:rsid w:val="00DB4F10"/>
    <w:rsid w:val="00DD2DAD"/>
    <w:rsid w:val="00DD5F5B"/>
    <w:rsid w:val="00E6620E"/>
    <w:rsid w:val="00EB21CE"/>
    <w:rsid w:val="00EF1EB0"/>
    <w:rsid w:val="00EF37E9"/>
    <w:rsid w:val="00F0135B"/>
    <w:rsid w:val="00F33F86"/>
    <w:rsid w:val="00F449E6"/>
    <w:rsid w:val="00FA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24F3"/>
  <w15:chartTrackingRefBased/>
  <w15:docId w15:val="{8741FA6A-EADE-49BA-B076-DE3DB358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67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1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28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8F"/>
    <w:rPr>
      <w:rFonts w:ascii="Calibri" w:eastAsia="Times New Roman" w:hAnsi="Calibri" w:cs="Times New Roman"/>
    </w:rPr>
  </w:style>
  <w:style w:type="character" w:styleId="Emphasis">
    <w:name w:val="Emphasis"/>
    <w:qFormat/>
    <w:rsid w:val="00F33F86"/>
    <w:rPr>
      <w:i/>
      <w:iCs/>
    </w:rPr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,Liste 1"/>
    <w:basedOn w:val="Normal"/>
    <w:link w:val="ListParagraphChar"/>
    <w:uiPriority w:val="34"/>
    <w:qFormat/>
    <w:rsid w:val="008A438E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uiPriority w:val="34"/>
    <w:qFormat/>
    <w:locked/>
    <w:rsid w:val="00EF1EB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921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9921A7"/>
    <w:rPr>
      <w:rFonts w:ascii="Calibri" w:eastAsia="Calibri" w:hAnsi="Calibri" w:cs="Times New Roman"/>
    </w:rPr>
  </w:style>
  <w:style w:type="character" w:customStyle="1" w:styleId="shorttext">
    <w:name w:val="short_text"/>
    <w:rsid w:val="008939B0"/>
  </w:style>
  <w:style w:type="paragraph" w:styleId="NormalWeb">
    <w:name w:val="Normal (Web)"/>
    <w:basedOn w:val="Normal"/>
    <w:link w:val="NormalWebChar"/>
    <w:uiPriority w:val="99"/>
    <w:unhideWhenUsed/>
    <w:rsid w:val="00511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5116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DC5D7-6D96-4436-AC8B-AB50A750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Departamenti Ligjor</dc:creator>
  <cp:keywords/>
  <dc:description/>
  <cp:lastModifiedBy>Isah Rudaku</cp:lastModifiedBy>
  <cp:revision>81</cp:revision>
  <dcterms:created xsi:type="dcterms:W3CDTF">2023-01-07T12:05:00Z</dcterms:created>
  <dcterms:modified xsi:type="dcterms:W3CDTF">2023-01-24T07:33:00Z</dcterms:modified>
</cp:coreProperties>
</file>