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5" w:rsidRPr="00CD1F9A" w:rsidRDefault="00AB6A45" w:rsidP="00AB6A45">
      <w:pPr>
        <w:ind w:left="-720" w:right="-720"/>
        <w:jc w:val="center"/>
        <w:rPr>
          <w:rFonts w:ascii="Times New Roman" w:hAnsi="Times New Roman"/>
          <w:sz w:val="24"/>
          <w:szCs w:val="24"/>
          <w:lang w:val="sq-AL"/>
        </w:rPr>
      </w:pPr>
      <w:r w:rsidRPr="00CD1F9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00100" cy="8382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45" w:rsidRPr="00CD1F9A" w:rsidRDefault="00AB6A45" w:rsidP="00AB6A45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val="sq-AL"/>
        </w:rPr>
      </w:pPr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>Republika e Kosovës</w:t>
      </w:r>
    </w:p>
    <w:p w:rsidR="00AB6A45" w:rsidRPr="00CD1F9A" w:rsidRDefault="00AB6A45" w:rsidP="00AB6A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CD1F9A">
        <w:rPr>
          <w:rFonts w:ascii="Times New Roman" w:eastAsia="Batang" w:hAnsi="Times New Roman"/>
          <w:b/>
          <w:bCs/>
          <w:sz w:val="24"/>
          <w:szCs w:val="24"/>
          <w:lang w:val="sq-AL"/>
        </w:rPr>
        <w:t>Republika Kosova-</w:t>
      </w:r>
      <w:proofErr w:type="spellStart"/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>Republic</w:t>
      </w:r>
      <w:proofErr w:type="spellEnd"/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>of</w:t>
      </w:r>
      <w:proofErr w:type="spellEnd"/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CD1F9A">
        <w:rPr>
          <w:rFonts w:ascii="Times New Roman" w:hAnsi="Times New Roman"/>
          <w:b/>
          <w:bCs/>
          <w:sz w:val="24"/>
          <w:szCs w:val="24"/>
          <w:lang w:val="sq-AL"/>
        </w:rPr>
        <w:t>Kosovo</w:t>
      </w:r>
      <w:proofErr w:type="spellEnd"/>
    </w:p>
    <w:p w:rsidR="00AB6A45" w:rsidRPr="00CD1F9A" w:rsidRDefault="00AB6A45" w:rsidP="00AB6A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CD1F9A">
        <w:rPr>
          <w:rFonts w:ascii="Times New Roman" w:hAnsi="Times New Roman"/>
          <w:i/>
          <w:sz w:val="24"/>
          <w:szCs w:val="24"/>
          <w:lang w:val="sq-AL"/>
        </w:rPr>
        <w:t>Ministria e Administrimit të Pushtetit Lokal</w:t>
      </w:r>
    </w:p>
    <w:p w:rsidR="00AB6A45" w:rsidRPr="00CD1F9A" w:rsidRDefault="00AB6A45" w:rsidP="00AB6A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proofErr w:type="spellStart"/>
      <w:r w:rsidRPr="00CD1F9A">
        <w:rPr>
          <w:rFonts w:ascii="Times New Roman" w:hAnsi="Times New Roman"/>
          <w:i/>
          <w:sz w:val="24"/>
          <w:szCs w:val="24"/>
          <w:lang w:val="sq-AL"/>
        </w:rPr>
        <w:t>Ministarstvo</w:t>
      </w:r>
      <w:proofErr w:type="spellEnd"/>
      <w:r w:rsidRPr="00CD1F9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Pr="00CD1F9A">
        <w:rPr>
          <w:rFonts w:ascii="Times New Roman" w:hAnsi="Times New Roman"/>
          <w:i/>
          <w:sz w:val="24"/>
          <w:szCs w:val="24"/>
          <w:lang w:val="sq-AL"/>
        </w:rPr>
        <w:t>Administracije</w:t>
      </w:r>
      <w:proofErr w:type="spellEnd"/>
      <w:r w:rsidRPr="00CD1F9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Pr="00CD1F9A">
        <w:rPr>
          <w:rFonts w:ascii="Times New Roman" w:hAnsi="Times New Roman"/>
          <w:i/>
          <w:sz w:val="24"/>
          <w:szCs w:val="24"/>
          <w:lang w:val="sq-AL"/>
        </w:rPr>
        <w:t>Lokalne</w:t>
      </w:r>
      <w:proofErr w:type="spellEnd"/>
      <w:r w:rsidRPr="00CD1F9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Pr="00CD1F9A">
        <w:rPr>
          <w:rFonts w:ascii="Times New Roman" w:hAnsi="Times New Roman"/>
          <w:i/>
          <w:sz w:val="24"/>
          <w:szCs w:val="24"/>
          <w:lang w:val="sq-AL"/>
        </w:rPr>
        <w:t>Samouprave</w:t>
      </w:r>
      <w:proofErr w:type="spellEnd"/>
    </w:p>
    <w:p w:rsidR="00AB6A45" w:rsidRPr="00CD1F9A" w:rsidRDefault="00AB6A45" w:rsidP="00AB6A45">
      <w:pPr>
        <w:pStyle w:val="BodyText2"/>
        <w:jc w:val="center"/>
        <w:rPr>
          <w:b/>
          <w:sz w:val="24"/>
          <w:szCs w:val="24"/>
        </w:rPr>
      </w:pPr>
      <w:proofErr w:type="spellStart"/>
      <w:r w:rsidRPr="00CD1F9A">
        <w:rPr>
          <w:i/>
          <w:sz w:val="24"/>
          <w:szCs w:val="24"/>
        </w:rPr>
        <w:t>Ministry</w:t>
      </w:r>
      <w:proofErr w:type="spellEnd"/>
      <w:r w:rsidRPr="00CD1F9A">
        <w:rPr>
          <w:i/>
          <w:sz w:val="24"/>
          <w:szCs w:val="24"/>
        </w:rPr>
        <w:t xml:space="preserve"> </w:t>
      </w:r>
      <w:proofErr w:type="spellStart"/>
      <w:r w:rsidRPr="00CD1F9A">
        <w:rPr>
          <w:i/>
          <w:sz w:val="24"/>
          <w:szCs w:val="24"/>
        </w:rPr>
        <w:t>of</w:t>
      </w:r>
      <w:proofErr w:type="spellEnd"/>
      <w:r w:rsidRPr="00CD1F9A">
        <w:rPr>
          <w:i/>
          <w:sz w:val="24"/>
          <w:szCs w:val="24"/>
        </w:rPr>
        <w:t xml:space="preserve"> </w:t>
      </w:r>
      <w:proofErr w:type="spellStart"/>
      <w:r w:rsidRPr="00CD1F9A">
        <w:rPr>
          <w:i/>
          <w:sz w:val="24"/>
          <w:szCs w:val="24"/>
        </w:rPr>
        <w:t>Local</w:t>
      </w:r>
      <w:proofErr w:type="spellEnd"/>
      <w:r w:rsidRPr="00CD1F9A">
        <w:rPr>
          <w:i/>
          <w:sz w:val="24"/>
          <w:szCs w:val="24"/>
        </w:rPr>
        <w:t xml:space="preserve"> </w:t>
      </w:r>
      <w:proofErr w:type="spellStart"/>
      <w:r w:rsidRPr="00CD1F9A">
        <w:rPr>
          <w:i/>
          <w:sz w:val="24"/>
          <w:szCs w:val="24"/>
        </w:rPr>
        <w:t>Government</w:t>
      </w:r>
      <w:proofErr w:type="spellEnd"/>
      <w:r w:rsidRPr="00CD1F9A">
        <w:rPr>
          <w:i/>
          <w:sz w:val="24"/>
          <w:szCs w:val="24"/>
        </w:rPr>
        <w:t xml:space="preserve"> </w:t>
      </w:r>
      <w:proofErr w:type="spellStart"/>
      <w:r w:rsidRPr="00CD1F9A">
        <w:rPr>
          <w:i/>
          <w:sz w:val="24"/>
          <w:szCs w:val="24"/>
        </w:rPr>
        <w:t>Administration</w:t>
      </w:r>
      <w:proofErr w:type="spellEnd"/>
      <w:r w:rsidRPr="00CD1F9A">
        <w:rPr>
          <w:i/>
          <w:sz w:val="24"/>
          <w:szCs w:val="24"/>
        </w:rPr>
        <w:t xml:space="preserve">  </w:t>
      </w:r>
      <w:r w:rsidRPr="00CD1F9A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CD1F9A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  <w:r w:rsidRPr="00CD1F9A">
        <w:rPr>
          <w:sz w:val="24"/>
          <w:szCs w:val="24"/>
        </w:rPr>
        <w:t xml:space="preserve"> </w:t>
      </w: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jc w:val="center"/>
        <w:rPr>
          <w:rFonts w:ascii="Roboto Condensed" w:eastAsia="Roboto Condensed" w:hAnsi="Roboto Condensed" w:cs="Roboto Condensed"/>
          <w:color w:val="4472C4"/>
          <w:sz w:val="32"/>
          <w:szCs w:val="32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color w:val="4472C4"/>
          <w:sz w:val="32"/>
          <w:szCs w:val="32"/>
          <w:highlight w:val="white"/>
          <w:lang w:val="sq-AL"/>
        </w:rPr>
        <w:t>PARTNERITETI PËR QEVERISJE TË HAPUR</w:t>
      </w:r>
    </w:p>
    <w:p w:rsidR="00DE4999" w:rsidRPr="00AB6A45" w:rsidRDefault="00AB6A45">
      <w:pPr>
        <w:jc w:val="center"/>
        <w:rPr>
          <w:rFonts w:ascii="Roboto Condensed" w:eastAsia="Roboto Condensed" w:hAnsi="Roboto Condensed" w:cs="Roboto Condensed"/>
          <w:sz w:val="26"/>
          <w:szCs w:val="26"/>
          <w:highlight w:val="white"/>
          <w:lang w:val="sq-AL"/>
        </w:rPr>
      </w:pPr>
      <w:bookmarkStart w:id="0" w:name="_GoBack"/>
      <w:r w:rsidRPr="00AB6A45">
        <w:rPr>
          <w:rFonts w:ascii="Roboto Condensed" w:eastAsia="Roboto Condensed" w:hAnsi="Roboto Condensed" w:cs="Roboto Condensed"/>
          <w:sz w:val="26"/>
          <w:szCs w:val="26"/>
          <w:highlight w:val="white"/>
          <w:lang w:val="sq-AL"/>
        </w:rPr>
        <w:t xml:space="preserve">PLANI KOMBËTAR I VEPRIMIT </w:t>
      </w:r>
      <w:r>
        <w:rPr>
          <w:rFonts w:ascii="Roboto Condensed" w:eastAsia="Roboto Condensed" w:hAnsi="Roboto Condensed" w:cs="Roboto Condensed"/>
          <w:sz w:val="26"/>
          <w:szCs w:val="26"/>
          <w:highlight w:val="white"/>
          <w:lang w:val="sq-AL"/>
        </w:rPr>
        <w:t>2023 - 2025</w:t>
      </w:r>
    </w:p>
    <w:bookmarkEnd w:id="0"/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 w:rsidP="00AB6A45">
      <w:pPr>
        <w:jc w:val="center"/>
        <w:rPr>
          <w:rFonts w:ascii="Roboto Condensed" w:eastAsia="Roboto Condensed" w:hAnsi="Roboto Condensed" w:cs="Roboto Condensed"/>
          <w:sz w:val="24"/>
          <w:szCs w:val="24"/>
          <w:highlight w:val="white"/>
          <w:lang w:val="sq-AL"/>
        </w:rPr>
      </w:pPr>
      <w:r>
        <w:rPr>
          <w:rFonts w:ascii="Roboto Condensed" w:eastAsia="Roboto Condensed" w:hAnsi="Roboto Condensed" w:cs="Roboto Condensed"/>
          <w:sz w:val="24"/>
          <w:szCs w:val="24"/>
          <w:highlight w:val="white"/>
          <w:lang w:val="sq-AL"/>
        </w:rPr>
        <w:t>TETOR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lang w:val="sq-AL"/>
        </w:rPr>
        <w:t xml:space="preserve"> 2022</w:t>
      </w:r>
    </w:p>
    <w:p w:rsidR="00DE4999" w:rsidRPr="00AB6A45" w:rsidRDefault="00AB6A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Roboto Condensed" w:eastAsia="Roboto Condensed" w:hAnsi="Roboto Condensed" w:cs="Roboto Condensed"/>
          <w:color w:val="000000"/>
          <w:sz w:val="32"/>
          <w:szCs w:val="32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color w:val="000000"/>
          <w:sz w:val="32"/>
          <w:szCs w:val="32"/>
          <w:highlight w:val="white"/>
          <w:lang w:val="sq-AL"/>
        </w:rPr>
        <w:lastRenderedPageBreak/>
        <w:t>Tabela e përmbajtjes</w:t>
      </w: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sdt>
      <w:sdtPr>
        <w:rPr>
          <w:lang w:val="sq-AL"/>
        </w:rPr>
        <w:id w:val="1913044034"/>
        <w:docPartObj>
          <w:docPartGallery w:val="Table of Contents"/>
          <w:docPartUnique/>
        </w:docPartObj>
      </w:sdtPr>
      <w:sdtContent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r w:rsidRPr="00AB6A45">
            <w:rPr>
              <w:lang w:val="sq-AL"/>
            </w:rPr>
            <w:fldChar w:fldCharType="begin"/>
          </w:r>
          <w:r w:rsidRPr="00AB6A45">
            <w:rPr>
              <w:lang w:val="sq-AL"/>
            </w:rPr>
            <w:instrText xml:space="preserve"> TOC \h \u \z </w:instrText>
          </w:r>
          <w:r w:rsidRPr="00AB6A45">
            <w:rPr>
              <w:lang w:val="sq-AL"/>
            </w:rPr>
            <w:fldChar w:fldCharType="separate"/>
          </w:r>
          <w:hyperlink w:anchor="_heading=h.gjdgxs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Lista e shkurtesave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3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1fob9te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Hyrje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4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3znysh7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Përpjekjet e mëparshme nën Partneritetin për Qeverisje të Hapur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6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ind w:left="22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2et92p0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Nisma aktuale e PQH-së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6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tyjcwt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Zotimet e Planit të Veprimit të PQH-së në Kosovë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8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ind w:left="22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3dy6vkm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1.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QEVERISJA DIGJITALE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8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ind w:left="22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1t3h5sf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2.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TË DHËNAT E HAPURA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12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ind w:left="22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4d34og8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3.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PJESËMARRJA QYTETARE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16</w:t>
            </w:r>
          </w:hyperlink>
        </w:p>
        <w:p w:rsidR="00DE4999" w:rsidRPr="00AB6A45" w:rsidRDefault="00AB6A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ind w:left="220"/>
            <w:rPr>
              <w:rFonts w:ascii="Roboto Condensed" w:eastAsia="Roboto Condensed" w:hAnsi="Roboto Condensed" w:cs="Roboto Condensed"/>
              <w:color w:val="000000"/>
              <w:highlight w:val="white"/>
              <w:lang w:val="sq-AL"/>
            </w:rPr>
          </w:pPr>
          <w:hyperlink w:anchor="_heading=h.2s8eyo1"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4.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KUNDËR-KORRUPSIONI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ab/>
              <w:t>20</w:t>
            </w:r>
          </w:hyperlink>
        </w:p>
        <w:p w:rsidR="00DE4999" w:rsidRPr="00AB6A45" w:rsidRDefault="00AB6A45">
          <w:pPr>
            <w:pBdr>
              <w:bottom w:val="single" w:sz="6" w:space="1" w:color="000000"/>
            </w:pBdr>
            <w:rPr>
              <w:rFonts w:ascii="Roboto Condensed" w:eastAsia="Roboto Condensed" w:hAnsi="Roboto Condensed" w:cs="Roboto Condensed"/>
              <w:sz w:val="24"/>
              <w:szCs w:val="24"/>
              <w:highlight w:val="white"/>
              <w:lang w:val="sq-AL"/>
            </w:rPr>
          </w:pPr>
          <w:r w:rsidRPr="00AB6A45">
            <w:rPr>
              <w:lang w:val="sq-AL"/>
            </w:rPr>
            <w:fldChar w:fldCharType="end"/>
          </w:r>
        </w:p>
      </w:sdtContent>
    </w:sdt>
    <w:p w:rsidR="00DE4999" w:rsidRPr="00AB6A45" w:rsidRDefault="00AB6A45" w:rsidP="00AB6A45">
      <w:pPr>
        <w:rPr>
          <w:rFonts w:ascii="Roboto Condensed" w:eastAsia="Roboto Condensed" w:hAnsi="Roboto Condensed" w:cs="Roboto Condensed"/>
          <w:color w:val="2F5496"/>
          <w:sz w:val="32"/>
          <w:szCs w:val="32"/>
          <w:highlight w:val="white"/>
          <w:lang w:val="sq-AL"/>
        </w:rPr>
      </w:pPr>
      <w:r w:rsidRPr="00AB6A45">
        <w:rPr>
          <w:lang w:val="sq-AL"/>
        </w:rPr>
        <w:br w:type="page"/>
      </w:r>
    </w:p>
    <w:p w:rsidR="00DE4999" w:rsidRPr="00AB6A45" w:rsidRDefault="00AB6A45">
      <w:pPr>
        <w:pStyle w:val="Heading1"/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1" w:name="_heading=h.gjdgxs" w:colFirst="0" w:colLast="0"/>
      <w:bookmarkEnd w:id="1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 xml:space="preserve">Lista e shkurtesave </w:t>
      </w: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AKK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Agjencia Kundër Korrupsionit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AKPPM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Agjencia e Kosovës për Produkte dhe Pajisje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Medicinale</w:t>
      </w:r>
      <w:proofErr w:type="spellEnd"/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BE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Bashkimi Evropian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AIP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Agjencia për </w:t>
      </w:r>
      <w:r w:rsidR="00612DB0" w:rsidRPr="00AB6A45">
        <w:rPr>
          <w:rFonts w:ascii="Roboto Condensed" w:eastAsia="Roboto Condensed" w:hAnsi="Roboto Condensed" w:cs="Roboto Condensed"/>
          <w:highlight w:val="white"/>
          <w:lang w:val="sq-AL"/>
        </w:rPr>
        <w:t>Informim</w:t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dhe Privatësi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ASHI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Agjencia e Shoqërisë së Informacionit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KGJK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Këshilli Gjyqësor i Kosovës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KPK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Këshilli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Prokurorial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i Kosovës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MPB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Ministria e Punëve të Brendshme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MAP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Ministria e Administratës Publike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MAPL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Ministria e Administrimit të Pushtetit Lokal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2" w:name="_heading=h.30j0zll" w:colFirst="0" w:colLast="0"/>
      <w:bookmarkEnd w:id="2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MSH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Ministria e Shëndetësisë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AShMDhP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Agjencia Shtetërore për Mbrojtjen e të Dhënave Personale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PKV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Plani Kombëtar i Veprimit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ODK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Open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Data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Kosovo</w:t>
      </w:r>
      <w:proofErr w:type="spellEnd"/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PQH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Partneriteti për Qeverisje të Hapur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KRPP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Komisioni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Rregullativ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i Prokurimit Publik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SLAPP – </w:t>
      </w:r>
      <w:r>
        <w:rPr>
          <w:rFonts w:ascii="Roboto Condensed" w:eastAsia="Roboto Condensed" w:hAnsi="Roboto Condensed" w:cs="Roboto Condensed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Proceset Gjyqësore Strategjike Kundër Pjesëmarrjes Publike </w:t>
      </w:r>
    </w:p>
    <w:p w:rsidR="00DE4999" w:rsidRPr="00AB6A45" w:rsidRDefault="00AB6A45">
      <w:pPr>
        <w:rPr>
          <w:rFonts w:ascii="Roboto Condensed" w:eastAsia="Roboto Condensed" w:hAnsi="Roboto Condensed" w:cs="Roboto Condensed"/>
          <w:sz w:val="24"/>
          <w:szCs w:val="24"/>
          <w:highlight w:val="white"/>
          <w:lang w:val="sq-AL"/>
        </w:rPr>
      </w:pPr>
      <w:r w:rsidRPr="00AB6A45">
        <w:rPr>
          <w:lang w:val="sq-AL"/>
        </w:rPr>
        <w:br w:type="page"/>
      </w:r>
    </w:p>
    <w:p w:rsidR="00DE4999" w:rsidRPr="00AB6A45" w:rsidRDefault="00AB6A45">
      <w:pPr>
        <w:pStyle w:val="Heading1"/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3" w:name="_heading=h.1fob9te" w:colFirst="0" w:colLast="0"/>
      <w:bookmarkEnd w:id="3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 xml:space="preserve">Hyrje  </w:t>
      </w: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Në një shoqëri demokratike, përfshirja e organizatave të shoqërisë civile në proceset qeveritare është me rëndësi jetike. 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Procesi i anëtarësimit në PQH konsiderohet si prioritet i Ministrisë së Administrimit të Pushtetit Lokal, për faktin se kjo do të vazhdojë t'i hapë rrugën promovimit të qeverisjes së hapur dhe transparente, pjesëmarrjes së qytetarëve në vendimmarrje,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gjithëpërfshirjes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dhe qeverisjes së përgjegjshme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1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Në pesë vitet e fundit, Republika e Kosovës ka bërë përmirësime të dukshme në drejtim të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dixhitalizimit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të shërbimeve dhe hapjes së të dhënave. Kosova ka ofruar një numër të konsiderueshëm e-platformash dhe zgjidhjesh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dixhitale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, një bazë të fortë ligjore për lirinë e informacionit dhe qasje në dokumentet publike, dhe renditet ndër 50 vendet me shkallën më të lartë të depërtimit të internetit dhe të aftësive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dixhitale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, si dhe ka një shkallë të lartë të posedimit të telefonave inteligjentë. Për më tepër, Kosova është një nga vendet e pakta e cila zbulon plotësisht pronat, pasurinë, të ardhurat dhe borxhet e rreth 5,000 zyrtarëve publikë të vendit, gjë e cila cilësohet si e arritur.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2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Përveç kësaj, Republika e Kosovës ka arritur të dizajnojë dhe krijojë platforma të ndryshme digjitale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3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duke shënuar progres të dukshëm në fushën e të dhënave të hapura, qeverisjes digjitale dhe pjesëmarrjes qytetare.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Qeveria filloi zbatimin e Iniciativës për Hapjen e të Dhënave në maj të vitit 2016, kur Qeveria e Republikës së Kosovës me vendimin nr. 07/87 miratoi Kartën Ndërkombëtare për Hapjen e të Dhënave. Sipas këtij vendimi, Ministria e Administratës Publike është përgjegjëse për të bashkërenduar zhvillimet dhe punën, si dhe për të promovuar hapjen e të dhënave në Kosovë. Në këtë kuadër është krijuar Portali Kombëtar për të Dhëna të Hapura, në të cilin parashihet publikimi i të dhënave të prodhuara nga Qeveria e Kosovës.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Përmirësimi i shërbimeve publike, ngritja e transparencës, llogaridhënies dhe efikasitetit të administratës publike, si dhe krijimi i një shërbimi civil më profesional janë ndër prioritetet më të rëndësishme që Ministria e Administratës Publike është duke ndërmerr. 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Në kontekstin e promovimit të një qeverie të hapur, MAP-i në shtator të vitit 2018 ka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lansuar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raportin ODRA - Vlerësimi i Gatishmërisë për Hapjen e të Dhënave, bazuar në metodologjinë e Bankës Botërore i cili është përgatitur nga ekspertët vendor dhe ndërkombëtarë, dhe ofron një pasqyrë gjithëpërfshirëse sa i përket gjendjes në Kosovë në fushën e hapjes së të dhënave. 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Hapja e të dhënave të qeverisë, parasheh ndryshime pozitive në mënyrën se si qeveria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ndërvepron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me qytetarët. Ky proces u mundëson qytetarëve dhe bizneseve që në mënyrë aktive të marrin vendime të informuara në fusha të ndryshme të veprimtarisë.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Për më tepër, në vitin 2018, Qeveria e Republikës së Kosovës ka miratuar Planin e Veprimit për zbatimin e Strategjisë për Modernizimin e Administratës Publike 2015-2020. Qeveria, pas shumë vitesh të udhëheqjes së një procesi kompleks, i cili ishte një ndërthurje e zhvillimit hap pas hapi të strukturave administrative, zhvillimit të kapaciteteve dhe reformave, e vuri fokusin në zhvillimin e kapaciteteve, </w:t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>defragmentimin dhe racionalizimin e proceseve dhe shërbimeve të cilat i ofron administrata për qytetarët dhe përfituesit e tjerë, bazuar në profesionalizmin dhe mos</w:t>
      </w:r>
      <w:r w:rsidR="009C3028">
        <w:rPr>
          <w:rFonts w:ascii="Roboto Condensed" w:eastAsia="Roboto Condensed" w:hAnsi="Roboto Condensed" w:cs="Roboto Condensed"/>
          <w:highlight w:val="white"/>
          <w:lang w:val="sq-AL"/>
        </w:rPr>
        <w:t>-</w:t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politizimin brenda shërbimit civil. 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Bazuar në praktikat dhe analizat e qasjes së re në Reformën e Administratës, konsiderohet se një menaxhim më efikas i procesit, përpjekjet për eliminimin e barrierave në organizimin dhe zbatimin e reformave si dhe nevoja për t'u fokusuar në rezultate ka kushtëzuar qasjen për ndarjen e fushëveprimit të procesit dhe strukturave të menaxhimit në tre shtylla të Reformës së Administratës Publike.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Strategjia për Modernizimin e Administratës Publike fokusohet në arritjen e rezultateve të synuara në shtyllën e dytë, të cilat kanë të bëjnë me shërbimin civil, menaxhimin e burimeve njerëzore, ofrimin e shërbimeve publike dhe llogaridhënien në administratën publike.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4"/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Vendosmëria e qeverisë për të ngritur nivelin e shërbimeve të administratës publike, në shërbime cilësore, të qasshme, të bazuara në procedura të arsyeshme administrative, përmes e-qeverisjes, të orientuara në nevojat e qytetarëve dhe bizneseve, ka rezultuar në inicimin e zhvillimit të platformës e-Kosova – një mjet për ofrimin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online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të shërbimeve të administratës publike për qytetarët, bizneset dhe vetë punonjësit e administratës publike. Kjo platformë shërben si sportel elektronik, përmes të cilit çdo i interesuar përmes internetit mund të marrë shërbimet elektronike të ofruara nga institucionet publike në Kosovë, duke shkurtuar distancën, si dhe duke rritur efikasitetin dhe shpejtësinë e shërbimit. Platforma menaxhohet dhe administrohet nga Agjencia e Shoqërisë së Informacionit dhe është e ndërlidhur me Platformën e Ndërveprimit, e cila është arkitektura bazë në të cilën mundësohet ndërveprimi i regjistrave elektronikë të institucioneve të Kosovës.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5"/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Sa i përket të drejtës për qasje në dokumente publike, Kuvendi i Kosovës në vitin 2019 miratoi një ligj të ri që i garanton publikut të gjerë të drejtën për qasje në dokumente, duke shfuqizuar kështu ligjin e mëparshëm të quajtur Ligji për Qasje në Dokumente Zyrtare. Legjislacioni i miratuar rishtazi ka vendosur për emërimin e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Komisionerit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- një organ i pavarur përgjegjës për mbikëqyrjen e zbatimit të ligjit. Pas një procedure të gjatë dhe komplekse përzgjedhjeje,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Komisionerja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është emëruar nga Parlamenti. Ajo funksionon në kuadër të Agjencisë për </w:t>
      </w:r>
      <w:r w:rsidR="009C3028" w:rsidRPr="00AB6A45">
        <w:rPr>
          <w:rFonts w:ascii="Roboto Condensed" w:eastAsia="Roboto Condensed" w:hAnsi="Roboto Condensed" w:cs="Roboto Condensed"/>
          <w:highlight w:val="white"/>
          <w:lang w:val="sq-AL"/>
        </w:rPr>
        <w:t>Informim</w:t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dhe Privatësi (IPA)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6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e njohur më parë si Agjencia Shtetërore për Mbrojtjen e të Dhënave Personale.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Për më tepër, sipas Indeksit më të fundit të Perceptimit të Korrupsionit të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Transparency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International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për vitin 2021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7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, Republika e Kosovës gjatë vitit të kaluar ka shënuar progres në luftën kundër korrupsionit. Ajo i jep Kosovës 39 nga 100 pikë të mundshme, tre më shumë se pikët e saj në vitin 2020.</w:t>
      </w:r>
      <w:r w:rsidRPr="00AB6A45">
        <w:rPr>
          <w:rFonts w:ascii="Roboto Condensed" w:eastAsia="Roboto Condensed" w:hAnsi="Roboto Condensed" w:cs="Roboto Condensed"/>
          <w:sz w:val="24"/>
          <w:szCs w:val="24"/>
          <w:highlight w:val="white"/>
          <w:vertAlign w:val="superscript"/>
          <w:lang w:val="sq-AL"/>
        </w:rPr>
        <w:footnoteReference w:id="8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Pavarësisht këtij zhvillimi pozitiv të shënuar, vendi duhet të forcojë sundimin e ligjit dhe të vazhdojë luftën kundër korrupsionit përmes mekanizmave ligjorë dhe institucionalë.</w:t>
      </w:r>
    </w:p>
    <w:p w:rsidR="00DE4999" w:rsidRPr="00AB6A45" w:rsidRDefault="00DE4999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pStyle w:val="Heading1"/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4" w:name="_heading=h.3znysh7" w:colFirst="0" w:colLast="0"/>
      <w:bookmarkEnd w:id="4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>Përpjekjet e mëparshme nën Partneritetin për Qeverisje të Hapur</w:t>
      </w:r>
    </w:p>
    <w:p w:rsidR="00DE4999" w:rsidRPr="00AB6A45" w:rsidRDefault="00DE4999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Qeveria e Kosovës në vitin 2013 miratoi një vendim për fillimin e procedurave për anëtarësim në Partneritetin për Qeverisje të Hapur, gjë e cila cili shënoi hapat e parë drejt anëtarësimit në PQH në cilësinë e shtetit anëtar. Me këtë vendim, Qeverisë së Kosovës i është kërkuar që të respektojë të gjitha obligimet që rrjedhin nga procesi edhe pas anëtarësimit të Republikës së Kosovës në PQH.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Qeveria arriti të hartojë Planin Kombëtar të Veprimit 2014-2016 dhe të gjitha kriteret dhe kushtet e PQH-së janë përmbushur. PKV-ja synonte adresimin e sfidave që lidhen me qeverisjen e hapur si a) Përmirësimi i shërbimeve publike, b) rritja e integritetit publik, c) menaxhimi efektiv i burimeve publike dhe d) rritja e llogaridhënies së korporatave. Ndër të tjera, PKV-ja theksoi se të gjitha ligjet e miratuara ishin në përputhje me standardet dhe praktikat më të mira të vendeve të Bashkimit Evropian si dhe në përputhje të plotë me kriteret e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acquis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communautaire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. Gjithashtu, në atë kohë janë caktuar detyrat dhe përgjegjësitë e institucioneve publike përkatëse. Fatkeqësisht, rrugëtimi drejt anëtarësimit në PQH nuk mundi të materializohej në vitin 2013. Përkundër kësaj, Qeveria e Republikës së Kosovës ka treguar vazhdimisht përkushtim serioz për angazhimin, përmbushjen dhe arritjen e parimeve të PQH-së, siç edhe theksohet në pjesën hyrëse. Qeveria vazhdon përpjekjet dhe angazhimet e saj për parimet e qeverisjes së hapur dhe të përgjegjshme, duke bërë kështu lëvizje progresive në fushën e kornizës ligjore dhe institucionale. Prandaj, në qershor të vitit 2021 Qeveria e Kosovës edhe një herë vendosi të fillojë nismën për anëtarësim në PQH. </w:t>
      </w:r>
    </w:p>
    <w:p w:rsidR="00DE4999" w:rsidRPr="00AB6A45" w:rsidRDefault="00DE4999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color w:val="2F5496"/>
          <w:sz w:val="32"/>
          <w:szCs w:val="32"/>
          <w:highlight w:val="white"/>
          <w:lang w:val="sq-AL"/>
        </w:rPr>
      </w:pPr>
      <w:bookmarkStart w:id="5" w:name="_heading=h.2et92p0" w:colFirst="0" w:colLast="0"/>
      <w:bookmarkEnd w:id="5"/>
      <w:r w:rsidRPr="00AB6A45">
        <w:rPr>
          <w:rFonts w:ascii="Roboto Condensed" w:eastAsia="Roboto Condensed" w:hAnsi="Roboto Condensed" w:cs="Roboto Condensed"/>
          <w:color w:val="2F5496"/>
          <w:sz w:val="32"/>
          <w:szCs w:val="32"/>
          <w:highlight w:val="white"/>
          <w:lang w:val="sq-AL"/>
        </w:rPr>
        <w:t xml:space="preserve">Nisma aktuale e PQH-së 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Gjatë tetorit 2021 është inauguruar Komiteti Nacional Koordinues për PQH Kosova – një komision i përbërë nga institucionet publike, shoqëria civile, organizatat dhe institucionet tjera relevante.</w:t>
      </w:r>
      <w:r w:rsidRPr="00AB6A45">
        <w:rPr>
          <w:rFonts w:ascii="Roboto Condensed" w:eastAsia="Roboto Condensed" w:hAnsi="Roboto Condensed" w:cs="Roboto Condensed"/>
          <w:highlight w:val="white"/>
          <w:vertAlign w:val="superscript"/>
          <w:lang w:val="sq-AL"/>
        </w:rPr>
        <w:footnoteReference w:id="9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color w:val="FF0000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Për të mbledhur të dhëna kuptimplota nga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akterët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profesionistë, duke përfshirë organizatat e shoqërisë civile, institucionet lokale dhe qendrore si dhe operatorët e ndryshëm ekonomikë, organizata të ndryshme të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OShC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-ve organizuan një seri debatesh publike</w:t>
      </w:r>
      <w:r w:rsidRPr="00AB6A45">
        <w:rPr>
          <w:rFonts w:ascii="Roboto Condensed" w:eastAsia="Roboto Condensed" w:hAnsi="Roboto Condensed" w:cs="Roboto Condensed"/>
          <w:highlight w:val="white"/>
          <w:vertAlign w:val="superscript"/>
          <w:lang w:val="sq-AL"/>
        </w:rPr>
        <w:footnoteReference w:id="10"/>
      </w: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 dhe takime me palët e interesit në emër të Komitetit Nacional Koordinues për PQH Kosova. Si rezultat i ngjarjeve të tilla, informatat kthyese të mbledhura janë pasqyruar në katër angazhime të Qeverisë, të cilat konsistojnë në qeverisjen </w:t>
      </w:r>
      <w:proofErr w:type="spellStart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dixhitale</w:t>
      </w:r>
      <w:proofErr w:type="spellEnd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, të dhënat e hapura, pjesëmarrjen e qytetarëve dhe kundër-korrupsionin.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color w:val="FF0000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Janë organizuar debate publike në komunat kryesore të Kosovës, veçanërisht në Prishtinë, Prizren, Pejë, Ferizaj, Gjilan, Mitrovicë Jugore dhe Gjakovë, për t'u konsultuar me përfaqësuesit e institucioneve kyçe shtetërore, OJQ-të dhe qytetarët e secilës komunë përkatëse për angazhimet kryesore të përmendura më lartë. Ndërsa, takimet e palëve të interesit u organizuan për të mbledhur të dhëna specifike nga institucionet kryesore publike, OSHC-të, bizneset dhe mediat, për të diskutuar sfidat, sukseset dhe për të dhënë rekomandime konkrete.</w:t>
      </w:r>
    </w:p>
    <w:p w:rsidR="00DE4999" w:rsidRPr="00AB6A45" w:rsidRDefault="00AB6A45">
      <w:pPr>
        <w:jc w:val="both"/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>Ngjarjet e tilla ofruan një rol të rëndësishëm gjatë procesit të përcaktimit të çështjeve dhe angazhimeve thelbësore. Ngjarjet në mënyrë rigoroze ndoqën metodologjinë e punës sipas Manualit Kombëtar të PQH-së.</w:t>
      </w:r>
    </w:p>
    <w:p w:rsidR="00DE4999" w:rsidRDefault="00DE4999">
      <w:pPr>
        <w:jc w:val="both"/>
        <w:rPr>
          <w:rFonts w:ascii="Roboto Condensed" w:eastAsia="Roboto Condensed" w:hAnsi="Roboto Condensed" w:cs="Roboto Condensed"/>
          <w:color w:val="FF0000"/>
          <w:highlight w:val="white"/>
          <w:lang w:val="sq-AL"/>
        </w:rPr>
      </w:pPr>
    </w:p>
    <w:p w:rsidR="009C3028" w:rsidRPr="00AB6A45" w:rsidRDefault="009C3028">
      <w:pPr>
        <w:jc w:val="both"/>
        <w:rPr>
          <w:rFonts w:ascii="Roboto Condensed" w:eastAsia="Roboto Condensed" w:hAnsi="Roboto Condensed" w:cs="Roboto Condensed"/>
          <w:color w:val="FF0000"/>
          <w:highlight w:val="white"/>
          <w:lang w:val="sq-AL"/>
        </w:rPr>
      </w:pPr>
    </w:p>
    <w:tbl>
      <w:tblPr>
        <w:tblStyle w:val="a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DE4999" w:rsidRPr="00AB6A45">
        <w:tc>
          <w:tcPr>
            <w:tcW w:w="9105" w:type="dxa"/>
            <w:shd w:val="clear" w:color="auto" w:fill="ACB9C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  <w:lastRenderedPageBreak/>
              <w:t xml:space="preserve">1. Qeverisja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  <w:t>Dixhitale</w:t>
            </w:r>
            <w:proofErr w:type="spellEnd"/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Zhvillimi dhe promovoni i një ueb portali të centralizuar të shërbimeve elektronike për Kosovën (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)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Integrimi i modulit të ri (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eKomunat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) në kuadër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 me qëllim të rritjes së pjesëmarrjes qytetare dhe efikasitetit të shërbimeve komunale 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Zhvillimi i një sistemi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 për raportimin dhe vlerësimin e dëmeve nga fatkeqësitë natyrore </w:t>
            </w:r>
          </w:p>
        </w:tc>
      </w:tr>
      <w:tr w:rsidR="00DE4999" w:rsidRPr="00AB6A45">
        <w:tc>
          <w:tcPr>
            <w:tcW w:w="9105" w:type="dxa"/>
            <w:shd w:val="clear" w:color="auto" w:fill="ACB9C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  <w:t>2. Të dhënat e hapura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Përmirësimi i procedurave të brendshme brenda institucioneve për publikimin e të dhënave qeveritare dhe vënien e tyre në dispozicion në faqet e internetit të institucionit / Portali i të Dhënave të Hapura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Rritja e numrit të bazës së të dhënave të publikuara në Portalin e të Dhënave të Hapura me 30%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Ofrimi i ndihmës (teknike) për zyrtarët publikë të ngarkuar me publikimin e të dhënave publike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Rritja e ndërgjegjësimit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akterëve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 përkatës për rëndësinë e të dhënave të hapura</w:t>
            </w:r>
          </w:p>
        </w:tc>
      </w:tr>
      <w:tr w:rsidR="00DE4999" w:rsidRPr="00AB6A45">
        <w:tc>
          <w:tcPr>
            <w:tcW w:w="9105" w:type="dxa"/>
            <w:shd w:val="clear" w:color="auto" w:fill="ACB9C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  <w:t>3. Pjesëmarrja qytetare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Përmirësimi i platformave ekzistuese për pjesëmarrjen e qytetarëve në proceset vendimmarrëse duke ofruar asistencë teknike dhe ngritjen e kapaciteteve për zyrtarët publikë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Mbështetja e nismave të shoqërisë civile në ngritjen e vetëdijes përmes fushatave për të parandaluar përhapjen e proceseve gjyqësore strategjike kundër pjesëmarrjes publike (SLAPP).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Vendosja ose përmirësimi 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 i mekanizmave për ankesat e qytetarëve në lidhje me shërbimet e institucioneve publike</w:t>
            </w:r>
          </w:p>
        </w:tc>
      </w:tr>
      <w:tr w:rsidR="00DE4999" w:rsidRPr="00AB6A45">
        <w:tc>
          <w:tcPr>
            <w:tcW w:w="9105" w:type="dxa"/>
            <w:shd w:val="clear" w:color="auto" w:fill="ACB9C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ACB9CA"/>
                <w:lang w:val="sq-AL"/>
              </w:rPr>
              <w:t>4. Kundër-korrupsioni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Sistem plotësisht i hapur i prokurimit publik </w:t>
            </w:r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 xml:space="preserve">Rritja e transparencës së sistemit gjyqësor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prokurorial</w:t>
            </w:r>
            <w:proofErr w:type="spellEnd"/>
          </w:p>
        </w:tc>
      </w:tr>
      <w:tr w:rsidR="00DE4999" w:rsidRPr="00AB6A45">
        <w:tc>
          <w:tcPr>
            <w:tcW w:w="9105" w:type="dxa"/>
          </w:tcPr>
          <w:p w:rsidR="00DE4999" w:rsidRPr="00AB6A45" w:rsidRDefault="00AB6A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  <w:highlight w:val="white"/>
                <w:lang w:val="sq-AL"/>
              </w:rPr>
              <w:t>Rritja e transparencës së institucioneve të rekrutimit për postet e larta shtetërore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color w:val="FF0000"/>
          <w:highlight w:val="white"/>
          <w:lang w:val="sq-AL"/>
        </w:rPr>
      </w:pPr>
    </w:p>
    <w:p w:rsidR="00DE4999" w:rsidRPr="00AB6A45" w:rsidRDefault="00DE4999">
      <w:pPr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  <w:highlight w:val="white"/>
          <w:lang w:val="sq-AL"/>
        </w:rPr>
      </w:pPr>
    </w:p>
    <w:p w:rsidR="00DE4999" w:rsidRPr="00AB6A45" w:rsidRDefault="00AB6A45">
      <w:pPr>
        <w:rPr>
          <w:rFonts w:ascii="Roboto Condensed" w:eastAsia="Roboto Condensed" w:hAnsi="Roboto Condensed" w:cs="Roboto Condensed"/>
          <w:color w:val="2F5496"/>
          <w:sz w:val="32"/>
          <w:szCs w:val="32"/>
          <w:highlight w:val="white"/>
          <w:lang w:val="sq-AL"/>
        </w:rPr>
      </w:pPr>
      <w:r w:rsidRPr="00AB6A45">
        <w:rPr>
          <w:lang w:val="sq-AL"/>
        </w:rPr>
        <w:br w:type="page"/>
      </w:r>
    </w:p>
    <w:p w:rsidR="00DE4999" w:rsidRPr="00AB6A45" w:rsidRDefault="00AB6A45">
      <w:pPr>
        <w:pStyle w:val="Heading1"/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6" w:name="_heading=h.tyjcwt" w:colFirst="0" w:colLast="0"/>
      <w:bookmarkEnd w:id="6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 xml:space="preserve">Zotimet e Planit të Veprimit të PQH-së në Kosovë </w:t>
      </w:r>
    </w:p>
    <w:p w:rsidR="00DE4999" w:rsidRPr="00AB6A45" w:rsidRDefault="00AB6A45">
      <w:pPr>
        <w:pStyle w:val="Heading1"/>
        <w:rPr>
          <w:rFonts w:ascii="Roboto Condensed" w:eastAsia="Roboto Condensed" w:hAnsi="Roboto Condensed" w:cs="Roboto Condensed"/>
          <w:color w:val="000000"/>
          <w:sz w:val="24"/>
          <w:szCs w:val="24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color w:val="000000"/>
          <w:sz w:val="24"/>
          <w:szCs w:val="24"/>
          <w:highlight w:val="white"/>
          <w:lang w:val="sq-AL"/>
        </w:rPr>
        <w:tab/>
      </w:r>
    </w:p>
    <w:bookmarkStart w:id="7" w:name="_heading=h.3dy6vkm" w:colFirst="0" w:colLast="0"/>
    <w:bookmarkEnd w:id="7"/>
    <w:p w:rsidR="00DE4999" w:rsidRPr="00AB6A45" w:rsidRDefault="00AB6A45">
      <w:pPr>
        <w:pStyle w:val="Heading2"/>
        <w:numPr>
          <w:ilvl w:val="0"/>
          <w:numId w:val="6"/>
        </w:numPr>
        <w:rPr>
          <w:rFonts w:ascii="Roboto Condensed" w:eastAsia="Roboto Condensed" w:hAnsi="Roboto Condensed" w:cs="Roboto Condensed"/>
          <w:highlight w:val="white"/>
          <w:lang w:val="sq-AL"/>
        </w:rPr>
      </w:pPr>
      <w:r w:rsidRPr="00AB6A45">
        <w:rPr>
          <w:lang w:val="sq-AL"/>
        </w:rPr>
        <w:fldChar w:fldCharType="begin"/>
      </w:r>
      <w:r w:rsidRPr="00AB6A45">
        <w:rPr>
          <w:lang w:val="sq-AL"/>
        </w:rPr>
        <w:instrText xml:space="preserve"> HYPERLINK \l "_heading=h.17dp8vu" \h </w:instrText>
      </w:r>
      <w:r w:rsidRPr="00AB6A45">
        <w:rPr>
          <w:lang w:val="sq-AL"/>
        </w:rPr>
        <w:fldChar w:fldCharType="separate"/>
      </w:r>
      <w:r w:rsidRPr="00AB6A45">
        <w:rPr>
          <w:rFonts w:ascii="Roboto Condensed" w:eastAsia="Roboto Condensed" w:hAnsi="Roboto Condensed" w:cs="Roboto Condensed"/>
          <w:color w:val="2F5496"/>
          <w:highlight w:val="white"/>
          <w:lang w:val="sq-AL"/>
        </w:rPr>
        <w:t>QEVERISJA DIGJITALE</w:t>
      </w:r>
      <w:r w:rsidRPr="00AB6A45">
        <w:rPr>
          <w:rFonts w:ascii="Roboto Condensed" w:eastAsia="Roboto Condensed" w:hAnsi="Roboto Condensed" w:cs="Roboto Condensed"/>
          <w:color w:val="2F5496"/>
          <w:highlight w:val="white"/>
          <w:lang w:val="sq-AL"/>
        </w:rPr>
        <w:tab/>
      </w:r>
      <w:r w:rsidRPr="00AB6A45">
        <w:rPr>
          <w:rFonts w:ascii="Roboto Condensed" w:eastAsia="Roboto Condensed" w:hAnsi="Roboto Condensed" w:cs="Roboto Condensed"/>
          <w:color w:val="2F5496"/>
          <w:highlight w:val="white"/>
          <w:lang w:val="sq-AL"/>
        </w:rPr>
        <w:fldChar w:fldCharType="end"/>
      </w:r>
    </w:p>
    <w:p w:rsidR="00DE4999" w:rsidRPr="00AB6A45" w:rsidRDefault="00DE4999">
      <w:pPr>
        <w:pStyle w:val="Heading4"/>
        <w:rPr>
          <w:rFonts w:ascii="Roboto Condensed" w:eastAsia="Roboto Condensed" w:hAnsi="Roboto Condensed" w:cs="Roboto Condensed"/>
          <w:color w:val="000000"/>
          <w:highlight w:val="white"/>
          <w:lang w:val="sq-AL"/>
        </w:rPr>
      </w:pPr>
    </w:p>
    <w:tbl>
      <w:tblPr>
        <w:tblStyle w:val="a0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4620"/>
      </w:tblGrid>
      <w:tr w:rsidR="00DE4999" w:rsidRPr="00AB6A45">
        <w:tc>
          <w:tcPr>
            <w:tcW w:w="9105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1: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Zhvillimi dhe promovoni i një ueb portali të centralizuar të shërbimeve elektronike për Kosovën (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)</w:t>
            </w:r>
          </w:p>
        </w:tc>
      </w:tr>
      <w:tr w:rsidR="00DE4999" w:rsidRPr="00AB6A45">
        <w:tc>
          <w:tcPr>
            <w:tcW w:w="9105" w:type="dxa"/>
            <w:gridSpan w:val="2"/>
          </w:tcPr>
          <w:p w:rsidR="00DE4999" w:rsidRPr="00AB6A45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– 31/0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6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/2023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62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trajton çështjen e procedurave të aplikimit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offline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subvencione në institucione të ndryshme publike nga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aplikues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nga të gjitha rajonet e vendit. Kushti për të aplikuar me dokumente të shtypura shkakton një barrë financiare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aplikueasin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nga komunat e largëta, duke shkaktuar kështu shpenzime të panevojshme udhëtimi.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Dixhitalizimi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i këtij procesi do të veçonte problemet në procesin e aplikimit, do të rriste efikasitetin dhe do të forconte rëndësinë e ueb portalit ekzistues (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) me informacione relevante, duke vënë në pah kështu transparencën.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Për më tepër, një aplikim elektronik do t'i mundësonte komitetit të vlerësimit të jetë i vëmendshëm ndaj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aplikueasve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që kanë aplikuar më parë dhe që janë vlerësuar me të njëjtin koncept apo të ngjashëm, nuk ishin të përgjegjshëm në proceset e raportimit ose nuk u janë përmbajtur në asnjë mënyrë udhëzimeve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grantit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Në kuadër të platformës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, tashmë është themeluar Pika e Vetme e Kontaktit (PVK) për licencimin e auditorëve dhe kompanive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auditimit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duke zgjeruar gradualisht dhe në vazhdimësi shërbimet e PVK-së në sektorë të tjerë, Qeveria do t'u mundësojë qytetarëve të saj, bizneseve dhe të tjerëve që të kryejnë të gjitha procedurat administrative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6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 të siguruar një proces të qëndrueshëm dhe efektiv, Qeveria do të:</w:t>
            </w:r>
          </w:p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dixhitalizojë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 procesin e aplikimit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;</w:t>
            </w:r>
          </w:p>
          <w:p w:rsidR="00DE4999" w:rsidRPr="00AB6A45" w:rsidRDefault="00AB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përmes PVK-së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dixhitalizojë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 të gjithë hapat e nevojshëm administrativë për marrjen e lejeve, licencave ose regjistrimeve</w:t>
            </w: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trajnojë zyrtarët publikë se si të trajtojnë aplikacionet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dixhitale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; </w:t>
            </w: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forcojë, përditësojë dhe mirëmbajë portalin shtetëror ekzistues me informacione 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lastRenderedPageBreak/>
              <w:t>përkatëse që do të theksonin transparencën;</w:t>
            </w: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krijojë një listë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aplikuesve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 e cila do të paraqisnin të dhënat e mëparshme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aplikuesve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, d.m.th. OJQ-të. Konkretisht, kjo do të ilustrojë OJQ-të të cilat kanë fituar më parë, ato që nuk ishin të përgjegjshme ndaj proceseve të raportimit dhe anasjelltas;</w:t>
            </w: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ndërlidhë dhe koordinojë dokumentacionin ndërmjet institucioneve. Për shembull, Administrata Tatimore me Agjencinë e Regjistrimit të Bizneseve të Kosovës, për të reduktuar komplikimet dhe kostot në nxjerrjen e dokumentacionit përkatës dhe transferimin nga një institucion në tjetrin. </w:t>
            </w:r>
          </w:p>
          <w:p w:rsidR="00DE4999" w:rsidRPr="00AB6A45" w:rsidRDefault="00AB6A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Aplikim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 për lëshimin e licencave dhe lejeve të veprimtarisë për import/eksport të produkteve dhe pajisjeve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medicinale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Si kontribuon zotimi në zgjidhjen e problemit të identifikuar?</w:t>
            </w:r>
          </w:p>
        </w:tc>
        <w:tc>
          <w:tcPr>
            <w:tcW w:w="462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Procesi 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dixhitalizuar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do të mundësojë formularë aplikimi lehtësisht të qasshëm për të gjithë përfituesit e mundshëm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. Zyrtarët publikë do të krijojnë kapacitete për trajtimin e duhur të aplikimeve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të gjitha dokumentet e ofruara nga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aplikuesit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do të regjistrohen në një portal shtetëror i cili mundëson një bazë të dhënash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gjitha informacioneve, përfshirë cilësinë e punës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performancën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aplikuesve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në të kaluarën.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62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color w:val="FF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Zotimi është i rëndësishëm për transparencën dhe ofrimin e mundësive të barabarta për të gjithë.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Informacione shtese</w:t>
            </w:r>
          </w:p>
        </w:tc>
        <w:tc>
          <w:tcPr>
            <w:tcW w:w="462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Janë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inicuar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disa hapa drejt heqjes së barrës administrative në kuadër të procesit të aplikimit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subvencione, duke synuar kalimin e të gjithë procesit në formatet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dixhitale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. Për shembull, në vitin 2021, Ministria e Industrisë,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Ndërmarrësisë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Tregtisë i ka mundësuar bizneseve që përmes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eKosova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të aplikojë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subvencione.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6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Mundësia e aplikimeve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do të mundësohet përmes portalit shtetëror e-Kosova.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9C3028" w:rsidRDefault="009C3028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9C3028" w:rsidRDefault="009C3028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9C3028" w:rsidRPr="00AB6A45" w:rsidRDefault="009C3028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1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490"/>
        <w:gridCol w:w="1695"/>
        <w:gridCol w:w="1770"/>
        <w:gridCol w:w="1275"/>
        <w:gridCol w:w="1260"/>
      </w:tblGrid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Nr.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6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77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2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rPr>
          <w:trHeight w:val="1798"/>
        </w:trPr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4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Është arritur një Memorandum bashkëpunimi për ndërveprim dhe shkëmbim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ndërmjet institucioneve përkatëse</w:t>
            </w:r>
          </w:p>
        </w:tc>
        <w:tc>
          <w:tcPr>
            <w:tcW w:w="16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Informacioni dhe dokumentet e shkëmbyera ndërmjet bartësve përkatës të përgjegjësive </w:t>
            </w:r>
          </w:p>
        </w:tc>
        <w:tc>
          <w:tcPr>
            <w:tcW w:w="177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Agjencia e Regjistrimit të Bizneseve, Administrata Tatimore</w:t>
            </w:r>
          </w:p>
        </w:tc>
        <w:tc>
          <w:tcPr>
            <w:tcW w:w="127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/2022</w:t>
            </w:r>
          </w:p>
        </w:tc>
        <w:tc>
          <w:tcPr>
            <w:tcW w:w="1260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06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/2023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Agjencia e Shoqërisë së Informacionit (ASHI) ndërmerr krijimin e një seksioni përkatës për aplikimet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grante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në platformën e-Kosova.</w:t>
            </w:r>
          </w:p>
        </w:tc>
        <w:tc>
          <w:tcPr>
            <w:tcW w:w="16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mjeteve teknike të dizajnuara, përgatitura dhe të përfshira në platformën e-Kosova.</w:t>
            </w:r>
          </w:p>
        </w:tc>
        <w:tc>
          <w:tcPr>
            <w:tcW w:w="177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ASHI, MPB</w:t>
            </w:r>
          </w:p>
        </w:tc>
        <w:tc>
          <w:tcPr>
            <w:tcW w:w="127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260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15/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06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/2023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3. 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Zyrtarët publikë janë më të vetëdijshëm për rëndësinë e aplikacioneve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kanë njohuri të zgjeruara se si të trajtojnë aplikacionet e tilla.</w:t>
            </w:r>
          </w:p>
        </w:tc>
        <w:tc>
          <w:tcPr>
            <w:tcW w:w="16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zyrtarëve publikë të trajnuar</w:t>
            </w:r>
          </w:p>
        </w:tc>
        <w:tc>
          <w:tcPr>
            <w:tcW w:w="177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 /Zyra për Qeverisje të Mirë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260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31/0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/2023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2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9C3028" w:rsidTr="00612DB0">
        <w:tc>
          <w:tcPr>
            <w:tcW w:w="9120" w:type="dxa"/>
            <w:gridSpan w:val="2"/>
            <w:shd w:val="clear" w:color="auto" w:fill="FFFFFF" w:themeFill="background1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612DB0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Zotimi 2: </w:t>
            </w:r>
            <w:r w:rsidRPr="00612DB0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>Integrimi i modulit të ri (</w:t>
            </w:r>
            <w:proofErr w:type="spellStart"/>
            <w:r w:rsidRPr="00612DB0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>eKomunat</w:t>
            </w:r>
            <w:proofErr w:type="spellEnd"/>
            <w:r w:rsidRPr="00612DB0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 xml:space="preserve">) në kuadër të </w:t>
            </w:r>
            <w:proofErr w:type="spellStart"/>
            <w:r w:rsidRPr="00612DB0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>eKosova</w:t>
            </w:r>
            <w:proofErr w:type="spellEnd"/>
            <w:r w:rsidRPr="00612DB0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 xml:space="preserve"> me qëllim të rritjes së pjesëmarrjes qytetare dhe efikasitetit të shërbimeve komunale</w:t>
            </w:r>
            <w:r w:rsidRPr="009C3028">
              <w:rPr>
                <w:rFonts w:ascii="Roboto Condensed" w:eastAsia="Roboto Condensed" w:hAnsi="Roboto Condensed" w:cs="Roboto Condensed"/>
                <w:sz w:val="24"/>
                <w:szCs w:val="24"/>
                <w:shd w:val="clear" w:color="auto" w:fill="FFF2CC"/>
                <w:lang w:val="sq-AL"/>
              </w:rPr>
              <w:t xml:space="preserve"> </w:t>
            </w:r>
          </w:p>
        </w:tc>
      </w:tr>
      <w:tr w:rsidR="00DE4999" w:rsidRPr="009C3028">
        <w:tc>
          <w:tcPr>
            <w:tcW w:w="9120" w:type="dxa"/>
            <w:gridSpan w:val="2"/>
          </w:tcPr>
          <w:p w:rsidR="00DE4999" w:rsidRPr="009C3028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01/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3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– 3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12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5</w:t>
            </w:r>
          </w:p>
        </w:tc>
      </w:tr>
      <w:tr w:rsidR="00DE4999" w:rsidRPr="009C3028">
        <w:tc>
          <w:tcPr>
            <w:tcW w:w="453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Mundësia e përfshirjes së shërbimeve komunale  ne portalin shtetëror </w:t>
            </w:r>
            <w:r w:rsidR="009C3028"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qendror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eKosova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përmes platformës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eKomunat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do të jetë një vlerë e shtuar në lehtësimin e kryerjes së shërbimeve komunale për qytetarët. Kjo do të reduktonte ndjeshëm nevojën për prezencë fizike në komuna.</w:t>
            </w:r>
          </w:p>
        </w:tc>
      </w:tr>
      <w:tr w:rsidR="00DE4999" w:rsidRPr="009C3028">
        <w:tc>
          <w:tcPr>
            <w:tcW w:w="453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të Pushtetit Lokal në vazhdën e reformave për digjitalizim të shërbimeve dhe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aktiviteve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komunale në bashkëpunim me organet përkatëse vendore zotohet të zhvilloj modulin e ri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eKomunat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. Për më tepër, qeveria zotohet të sigurojë zbatimin e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ndërveprueshmërisë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, në përputhje me Strategjinë e Modernizimit të Administratës 2015-2020, në mënyrë që institucionet shtetërore të zbatojnë Ligjin për Procedurën e Përgjithshme Administrative, i cili barrën e sigurimit të dokumenteve shtetërore e vendos mbi institucionin dhe jo mbi qytetarët me rastin e paraqitjes së kërkesave për shërbime.</w:t>
            </w:r>
          </w:p>
        </w:tc>
      </w:tr>
      <w:tr w:rsidR="00DE4999" w:rsidRPr="009C3028">
        <w:tc>
          <w:tcPr>
            <w:tcW w:w="453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Përmes këtij aksioni, stafi komunal do të zvogëloj nevojën për ofrimin e shërbimeve në sportele të ndryshme nga njëra anë dhe do të kursejë kohë dhe burime të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të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ardhurave të qytetarëve nga fshatrat rurale nga ana tjetër. Kjo gjithashtu kontribuon në tejkalimin e ndarjes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dixhitale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rurale-urbane.</w:t>
            </w:r>
          </w:p>
        </w:tc>
      </w:tr>
      <w:tr w:rsidR="00DE4999" w:rsidRPr="009C3028">
        <w:tc>
          <w:tcPr>
            <w:tcW w:w="453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Nëpërmjet ofrimit të një shërbimi të tillë do të bëhet i mundur promovimi i teknologjive të reja si dhe do të jetë evidente ulja e kostos së përdorimit të këtyre teknologjive. Kjo është thelbësore për fuqizimin socio-ekonomik të qytetarëve që banojnë jashtë zonave urbane.</w:t>
            </w:r>
          </w:p>
          <w:p w:rsidR="00DE4999" w:rsidRPr="009C3028" w:rsidRDefault="00DE4999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</w:p>
        </w:tc>
      </w:tr>
      <w:tr w:rsidR="00DE4999" w:rsidRPr="009C3028">
        <w:tc>
          <w:tcPr>
            <w:tcW w:w="453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Qytetarët dhe bizneset nga zona të ndryshme të vendit do të mund të kryejnë shërbime të ndryshme komunale. </w:t>
            </w:r>
          </w:p>
          <w:p w:rsidR="00DE4999" w:rsidRPr="009C3028" w:rsidRDefault="00AB6A45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Për më tepër, pasi platforma do të fokusohet në monitorimin e organeve komunale do të ndikoj në rritjen e pjesëmarrjes qytetare, pra rritjen e ndërveprimit qytetarë dhe përfaqësues komunal. Përmes këtij moduli qytetarët do të kenë qasje në kohë reale të buxhetit dhe të hyrat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vetanake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komunale, të dhënat e hapura dhe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interaktive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, planet urbanistike të lagjeve, lejet dhe kushtet ndërtimore, prezantimi i procesit të vlerësimit të ligjshmërisë së akteve komunale dhe shumë shërbime të tjera.</w:t>
            </w:r>
          </w:p>
          <w:p w:rsidR="00DE4999" w:rsidRPr="009C3028" w:rsidRDefault="00DE4999" w:rsidP="009C3028">
            <w:pPr>
              <w:jc w:val="both"/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</w:p>
        </w:tc>
      </w:tr>
    </w:tbl>
    <w:p w:rsidR="00DE4999" w:rsidRPr="009C3028" w:rsidRDefault="00DE4999" w:rsidP="009C3028">
      <w:pPr>
        <w:rPr>
          <w:rFonts w:ascii="Roboto Condensed" w:eastAsia="Roboto Condensed" w:hAnsi="Roboto Condensed" w:cs="Roboto Condensed"/>
          <w:lang w:val="sq-AL"/>
        </w:rPr>
      </w:pPr>
    </w:p>
    <w:tbl>
      <w:tblPr>
        <w:tblStyle w:val="a3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370"/>
        <w:gridCol w:w="1695"/>
        <w:gridCol w:w="1905"/>
        <w:gridCol w:w="1320"/>
        <w:gridCol w:w="1320"/>
      </w:tblGrid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Nr.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Arritjet</w:t>
            </w: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Indikatorët</w:t>
            </w:r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Bartësi i aktivitetit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Data e fillimit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lang w:val="sq-AL"/>
              </w:rPr>
              <w:t>Data e përfundimit</w:t>
            </w:r>
          </w:p>
        </w:tc>
      </w:tr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1.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Është zhvilluar koncept dokumenti për platformën e-Komunat</w:t>
            </w: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Takimet e grupit këshillues  </w:t>
            </w:r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te Pushtetit Lokal (MAPL), Agjencia e Shoqërisë së Informacionit, Komunat. 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01/11/2022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15/11/2022</w:t>
            </w:r>
          </w:p>
        </w:tc>
      </w:tr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2.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Procesi i hapur i kontraktimit të kompanisë për zhvillimin e platformës</w:t>
            </w: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Lidhja e kontratës me sukses dhe brenda afatit kohor</w:t>
            </w:r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te Pushtetit Lokal (MAPL), Agjencia e Shoqërisë së Informacionit, Komunat. 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01/10/2022</w:t>
            </w:r>
          </w:p>
        </w:tc>
        <w:tc>
          <w:tcPr>
            <w:tcW w:w="1320" w:type="dxa"/>
          </w:tcPr>
          <w:p w:rsidR="00DE4999" w:rsidRPr="009C3028" w:rsidRDefault="009C3028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25</w:t>
            </w:r>
            <w:r w:rsidR="00AB6A45"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/10/2022</w:t>
            </w:r>
          </w:p>
        </w:tc>
      </w:tr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3.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Zhvillimi i platformës dhe funksionalizimit të shërbimeve te reja digjitale  </w:t>
            </w: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Integrimi i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eKomunave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në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eKosova</w:t>
            </w:r>
            <w:proofErr w:type="spellEnd"/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te Pushtetit Lokal (MAPL), Agjencia e Shoqërisë së Informacionit, Komunat. 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01/1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/2022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31/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12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5</w:t>
            </w:r>
          </w:p>
        </w:tc>
      </w:tr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4.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Vlerësimi i aftësive/nevojave të zyrtarëve publikë në përfshirjen e platformës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>eKomunat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në punën e tyre </w:t>
            </w: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>Numri i zyrtarëve publikë që kanë nevojë për ndihmë teknike</w:t>
            </w:r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te Pushtetit Lokal (MAPL), Agjencia e Shoqërisë së 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 xml:space="preserve">Informacionit, Komunat. 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>01/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/2022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31/04/202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5</w:t>
            </w:r>
          </w:p>
        </w:tc>
      </w:tr>
      <w:tr w:rsidR="00DE4999" w:rsidRPr="009C3028">
        <w:tc>
          <w:tcPr>
            <w:tcW w:w="4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lastRenderedPageBreak/>
              <w:t xml:space="preserve">5. </w:t>
            </w:r>
          </w:p>
        </w:tc>
        <w:tc>
          <w:tcPr>
            <w:tcW w:w="237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Trajnimi dhe ngritja e kapaciteteve të stafit komunal në përdorimin e platformës </w:t>
            </w:r>
            <w:proofErr w:type="spellStart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eKomunat</w:t>
            </w:r>
            <w:proofErr w:type="spellEnd"/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  </w:t>
            </w:r>
          </w:p>
          <w:p w:rsidR="00DE4999" w:rsidRPr="009C3028" w:rsidRDefault="00DE4999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</w:p>
        </w:tc>
        <w:tc>
          <w:tcPr>
            <w:tcW w:w="169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Numri i trajnimeve dhe zyrtarë të trajnuar</w:t>
            </w:r>
          </w:p>
        </w:tc>
        <w:tc>
          <w:tcPr>
            <w:tcW w:w="1905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 xml:space="preserve">Ministria e Administrimit te Pushtetit Lokal (MAPL), Agjencia e Shoqërisë së Informacionit, Komunat. 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01/</w:t>
            </w:r>
            <w:r w:rsid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01</w:t>
            </w: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/2022</w:t>
            </w:r>
          </w:p>
        </w:tc>
        <w:tc>
          <w:tcPr>
            <w:tcW w:w="1320" w:type="dxa"/>
          </w:tcPr>
          <w:p w:rsidR="00DE4999" w:rsidRPr="009C3028" w:rsidRDefault="00AB6A45" w:rsidP="009C3028">
            <w:pPr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</w:pPr>
            <w:r w:rsidRPr="009C3028">
              <w:rPr>
                <w:rFonts w:ascii="Roboto Condensed" w:eastAsia="Roboto Condensed" w:hAnsi="Roboto Condensed" w:cs="Roboto Condensed"/>
                <w:shd w:val="clear" w:color="auto" w:fill="FFF2CC"/>
                <w:lang w:val="sq-AL"/>
              </w:rPr>
              <w:t>31/04/2024</w:t>
            </w:r>
          </w:p>
        </w:tc>
      </w:tr>
    </w:tbl>
    <w:p w:rsidR="00DE4999" w:rsidRPr="009C3028" w:rsidRDefault="00DE4999">
      <w:pPr>
        <w:rPr>
          <w:rFonts w:ascii="Roboto Condensed" w:eastAsia="Roboto Condensed" w:hAnsi="Roboto Condensed" w:cs="Roboto Condensed"/>
          <w:lang w:val="sq-AL"/>
        </w:rPr>
      </w:pPr>
    </w:p>
    <w:tbl>
      <w:tblPr>
        <w:tblStyle w:val="a4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3: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Zhvillimi i një sistemi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 për raportimin dhe vlerësimin e dëmeve nga fatkeqësitë natyrore</w:t>
            </w:r>
          </w:p>
        </w:tc>
      </w:tr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01/06/2023 - 15/07/2023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Ky angazhim mundëson qasje të barabartë për të gjithë qytetarët për të identifikuar dëmet e shkaktuara nga fatkeqësitë natyrore. Në këto raste, komisionet e vlerësimit të dëmeve shpesh vonohen në punën e tyre në terren, duke lënë hapësirë për manipulime nga palët e prekura. Në këtë mënyrë të gjithë ata që pretendojnë se janë dëmtuar mund ta bëjnë këtë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Dizajnimi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krijimi i aplikacionit për regjistrimin dhe evidentimin e dëmeve nga fatkeqësitë natyrore i dedikuar qytetarëve, me theks të veçantë fermerëve të cilët mund ta përdorin për këtë qëllim këtë aplikacion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Sistemi i raportimit dhe vlerësimit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do të ndihmonte shumë në kompensimin e drejtë për të gjithë.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Ai mbështet aftësinë e qeverisë dhe shoqërisë dhe komunitetit të biznesit për të përdorur teknologjinë për të mirën e përbashkët.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Regjistrimi/raportimi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i aplikacioneve të dëmeve të shkaktuara nga fatkeqësitë natyrore do të jetë 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disponueshëm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përmes një aplikimi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5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775"/>
        <w:gridCol w:w="1320"/>
        <w:gridCol w:w="1800"/>
        <w:gridCol w:w="1275"/>
        <w:gridCol w:w="1320"/>
      </w:tblGrid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7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8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775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Marrëveshje bashkëpunimi ndërmjet Ministrisë së Bujqësisë, Pylltarisë dhe Zhvillimit Rural dhe komunave për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dixhitalizimin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e identifikimit të dëmeve të shkaktuara nga fatkeqësitë natyrore.</w:t>
            </w:r>
          </w:p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Një marrëveshje e tillë parasheh që komisionet komunale dhe ministrore për verifikimin dhe kompensimin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e dëmit të pranojnë fillimisht raportet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më pas të vazhdojnë me verifikimet në terren.</w:t>
            </w:r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Numri i raporteve të marra përmes aplikacionit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  <w:tc>
          <w:tcPr>
            <w:tcW w:w="18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Ministria e Bujqësisë, Pylltarisë dhe Zhvillimit Rural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  <w:tc>
          <w:tcPr>
            <w:tcW w:w="1320" w:type="dxa"/>
          </w:tcPr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2. </w:t>
            </w:r>
          </w:p>
        </w:tc>
        <w:tc>
          <w:tcPr>
            <w:tcW w:w="27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Është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inicuar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thirrja për ofrimin e ekspertizës teknike për krijimin e një formulari aplikimi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aplikimeve të pranuara</w:t>
            </w:r>
          </w:p>
        </w:tc>
        <w:tc>
          <w:tcPr>
            <w:tcW w:w="18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Ministria e Bujqësisë, Pylltarisë dhe Zhvillimit Rural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30/06/2023</w:t>
            </w:r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15/07/2023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3. </w:t>
            </w:r>
          </w:p>
        </w:tc>
        <w:tc>
          <w:tcPr>
            <w:tcW w:w="27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Formati i aplikimit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po përdoret nga qytetarët dhe komuniteti i biznesit</w:t>
            </w:r>
          </w:p>
        </w:tc>
        <w:tc>
          <w:tcPr>
            <w:tcW w:w="132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raporteve të dërguara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</w:p>
        </w:tc>
        <w:tc>
          <w:tcPr>
            <w:tcW w:w="1800" w:type="dxa"/>
          </w:tcPr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  <w:tc>
          <w:tcPr>
            <w:tcW w:w="1275" w:type="dxa"/>
          </w:tcPr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  <w:tc>
          <w:tcPr>
            <w:tcW w:w="1320" w:type="dxa"/>
          </w:tcPr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pStyle w:val="Heading2"/>
        <w:numPr>
          <w:ilvl w:val="0"/>
          <w:numId w:val="6"/>
        </w:numPr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8" w:name="_heading=h.1t3h5sf" w:colFirst="0" w:colLast="0"/>
      <w:bookmarkEnd w:id="8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TË DHËNAT E HAPURA </w:t>
      </w: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6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1: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Përmirësimi i procedurave të brendshme brenda institucioneve për publikimin e të dhënave qeveritare dhe vënien e tyre në dispozicion në faqet e internetit të institucionit / Portali i të Dhënave të Hapura</w:t>
            </w:r>
          </w:p>
        </w:tc>
      </w:tr>
      <w:tr w:rsidR="00DE4999" w:rsidRPr="00AB6A45">
        <w:tc>
          <w:tcPr>
            <w:tcW w:w="9120" w:type="dxa"/>
            <w:gridSpan w:val="2"/>
          </w:tcPr>
          <w:p w:rsidR="00DE4999" w:rsidRPr="00AB6A45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01/01/2023 - 31/12/202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Mungesa e qasjes në të dhënat publike. Kjo mungesë qasjeje mund të përshkruhet si pamundësi për të marr qasje në të dhënat (bazën e të dhënave) në një format të lexueshëm, ose formatet/lidhjet e ngarkuara nuk hapen.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Ai do të synojë të rregullojë problemin duke siguruar që të dhënat të ngarkohen në një format të lexueshëm dhe formatet e postuara të mund të qasen me sukses.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Duke pasur procedura të brendshme, që sigurojnë një bazë të dhënash plotësisht të qasshme në Portalin e të Dhënave të Hapura, do të nxis ministritë/departamentet përkatëse të ngarkojnë dhe ndajnë bazën e të dhënave të tyre publike.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Ky zotim do të kontribuojë në transparencën e punës së institucionit, si dhe do të lehtësojë procesin e punës së atyre që ndajnë fokusin në të dhënat përkatëse (autoritetet qeveritare apo joqeveritare).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Kuadri ligjor që siguron qasje në të dhënat publike, duhet gjithashtu të konsiderojë publikimin e bazës së të dhënave si të përpunueshme nga makina (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machine-processable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/format i lexueshëm) dhe gjithashtu të jetë i plotë për sa i përket detajeve të informacionit.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Rezultati i pritur i referohet informacionit publik të qasshëm, të përditësuar dhe të plotë. Në këtë mënyrë qytetarët mund të informohen në përputhje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me rrethanat, dhe puna e institucioneve mbetet transparente.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7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535"/>
        <w:gridCol w:w="1605"/>
        <w:gridCol w:w="1575"/>
        <w:gridCol w:w="1275"/>
        <w:gridCol w:w="1575"/>
      </w:tblGrid>
      <w:tr w:rsidR="00DE4999" w:rsidRPr="00AB6A45">
        <w:tc>
          <w:tcPr>
            <w:tcW w:w="5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5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5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5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Ripohimi i përgjegjësive ligjore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gjitha institucioneve publike në publikimin e të dhënave të tyre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bazës së të dhënave të publikuara</w:t>
            </w:r>
          </w:p>
        </w:tc>
        <w:tc>
          <w:tcPr>
            <w:tcW w:w="15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gjitha institucionet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57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2.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Ngritja e kapaciteteve në krijimin e inventarit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për të kuptuar se çfarë lloje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prodhohen në të gjitha institucionet publike.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Përgaditja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e inventarit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</w:t>
            </w:r>
          </w:p>
        </w:tc>
        <w:tc>
          <w:tcPr>
            <w:tcW w:w="15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gjitha institucionet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57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3. 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Përcaktimi i afatit për ministritë/departamentet për të publikuar të dhënat përkatëse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institucioneve që publikojnë në mënyrë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proaktive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bazat e të dhënave</w:t>
            </w:r>
          </w:p>
        </w:tc>
        <w:tc>
          <w:tcPr>
            <w:tcW w:w="15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gjitha institucionet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57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8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2: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Rritja e numrit të grupeve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 dhënave të publikuara në Portalin e të Dhënave të Hapura me 30%</w:t>
            </w:r>
          </w:p>
        </w:tc>
      </w:tr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01/03/2023 - 31/12/2023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Mungesa e bazës së të dhënave të përditësuara në portalin e të dhënave të hapura rezulton në mungesë informacioni të besueshëm që ndikon shumë në cilësinë e disa proceseve kërkimore.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Ai synon të ngarkojë në këtë portal baza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të rëndësishme në mënyrë që të dhënat të jenë të qasshme për të gjithë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akterët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e rëndësishëm.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Duke pasur të dhëna të qasshme të ngarkuara në portalin publik, të gjitha palët e interesit do të përfitojnë nga bazat e të dhënave të gatshme për përdorim. Kjo gjithashtu do të kursejë kohë dhe do të kontribuojë në informacionin e saktë.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Zotimi do të kontribuojë në transparencën e punës së institucionit, si dhe do të informojë qytetarët e vendit në aspekte të caktuara.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Rezultati i pritur i referohet një portali të përditësuar dhe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qasshën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që shfaq të dhënat publike. Një informacion i tillë kyç që paraqet interesin e çdo qytetari (autoriteteve të ndryshme qeveritare dhe joqeveritare) duhet të jetë i qasshëm për të gjithë. Në këtë mënyrë qytetarët mund të informohen në përputhje me rrethanat, dhe puna e institucionit mbetet transparente.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9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490"/>
        <w:gridCol w:w="1560"/>
        <w:gridCol w:w="1515"/>
        <w:gridCol w:w="1275"/>
        <w:gridCol w:w="1665"/>
      </w:tblGrid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5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6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Institucionet publike do të identifikojnë bazat e të dhënave që mungojnë në portal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që mungojnë</w:t>
            </w:r>
          </w:p>
        </w:tc>
        <w:tc>
          <w:tcPr>
            <w:tcW w:w="15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Ministria e Punëve të Brendshme / Administratës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6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31/12/2023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2.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Përcaktimi i prioriteteve për publikimin e të dhënave në të gjitha institucionet publike.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Lista e prioriteteve të grupeve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</w:t>
            </w:r>
          </w:p>
        </w:tc>
        <w:tc>
          <w:tcPr>
            <w:tcW w:w="15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gjitha institucionet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6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31/12/2024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Procesi i ngarkimit të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që mungojnë në portal është nisur dhe ka përfunduar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të publikuara</w:t>
            </w:r>
          </w:p>
        </w:tc>
        <w:tc>
          <w:tcPr>
            <w:tcW w:w="15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Ministria e Punëve të Brendshme / Administratës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01/01/2024</w:t>
            </w:r>
          </w:p>
        </w:tc>
        <w:tc>
          <w:tcPr>
            <w:tcW w:w="16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31/12/2024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a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Zotimi 3:  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Ofrimi i ndihmës (teknike) për zyrtarët publikë të ngarkuar me publikimin e të dhënave publike</w:t>
            </w:r>
          </w:p>
        </w:tc>
      </w:tr>
      <w:tr w:rsidR="00DE4999" w:rsidRPr="00AB6A45">
        <w:tc>
          <w:tcPr>
            <w:tcW w:w="9120" w:type="dxa"/>
            <w:gridSpan w:val="2"/>
          </w:tcPr>
          <w:p w:rsidR="00DE4999" w:rsidRPr="00AB6A45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01/03/2023 - 31/12/202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Zyrtarët publikë mund të kërkojnë gjithashtu ndihmë shtesë për të qenë në gjendje të publikojnë të gjitha bazat e të dhënave përkatëse në Portalin e të Dhënave të Hapura si një platformë institucionale.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Rritja e të kuptuarit si dhe e kapaciteteve të zyrtarëve publikë që janë të ngarkuar me publikimin e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për publikun.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Ndihma e dhënë do të rrisë aftësitë e zyrtarëve publikë dhe do ta bëjë më efikas procesin e publikimit të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Procesi i publikimit të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do të kontribuojë në përmbushjen e dy angazhimeve të mëparshme.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Rezultati i pritur është që të ketë personel të pajisur mirë që është përgjegjës për publikimin e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 në një portal publik.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b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490"/>
        <w:gridCol w:w="1560"/>
        <w:gridCol w:w="1710"/>
        <w:gridCol w:w="1275"/>
        <w:gridCol w:w="1455"/>
      </w:tblGrid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7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4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Vlerësimi i aftësive/nevojave të zyrtarëve publikë kur bëhet fjalë për të dhëna të hapura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zyrtarëve publikë që kanë nevojë për ndihmë</w:t>
            </w:r>
          </w:p>
        </w:tc>
        <w:tc>
          <w:tcPr>
            <w:tcW w:w="17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Ministria e Punëve të Brendshme / Administratës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4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4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Ofrimi i ndihmës së koordinuar për institucionet e linjës që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janë përgjegjëse për publikimin e bazave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dhënave</w:t>
            </w:r>
          </w:p>
        </w:tc>
        <w:tc>
          <w:tcPr>
            <w:tcW w:w="15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Numri i ndihmave të ofruara</w:t>
            </w:r>
          </w:p>
        </w:tc>
        <w:tc>
          <w:tcPr>
            <w:tcW w:w="17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Ministria e Punëve të Brendshme /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Administratës Publike</w:t>
            </w:r>
          </w:p>
        </w:tc>
        <w:tc>
          <w:tcPr>
            <w:tcW w:w="127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01/06/2023</w:t>
            </w:r>
          </w:p>
        </w:tc>
        <w:tc>
          <w:tcPr>
            <w:tcW w:w="145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c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90"/>
      </w:tblGrid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4: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Rritja e ndërgjegjësimit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akterëve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 përkatës për rëndësinë e të dhënave të hapura</w:t>
            </w:r>
          </w:p>
        </w:tc>
      </w:tr>
      <w:tr w:rsidR="00DE4999" w:rsidRPr="00AB6A45">
        <w:tc>
          <w:tcPr>
            <w:tcW w:w="9120" w:type="dxa"/>
            <w:gridSpan w:val="2"/>
          </w:tcPr>
          <w:p w:rsidR="00DE4999" w:rsidRPr="00AB6A45" w:rsidRDefault="00AB6A45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01/03/2023 - 31/12/2024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Shumica e institucioneve publike si dhe palët e tjera të interesit nuk kanë informacion apo njohuri kyçe për rëndësinë e të dhënave të hapura. Përmes këtij zotimi, Qeveria synon të ndërgjegjësojë të gjithë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akterët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relevantë në këtë fushë.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Njohuritë e përgjithshme dhe specifike të nëpunësve civilë dhe palëve të tjera të interesit mbi të dhënat e hapura janë përmirësuar.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Ndërgjegjësimi i rritur do të përmirësonte procesin e të dhënave të hapura. Kjo do të stimulonte gjithashtu presionin nga publiku i gjerë për arritje më të mira në fushën e të dhënave të hapura si dhe zbulimin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proaktiv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të informacionit/dokumenteve publike.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Zotimi kontribuon për një Qeveri më të hapur dhe transparente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9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Fushata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ndërgjegjësuese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popullarizimin e të dhënave të hapura midis palëve të interesit.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d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950"/>
        <w:gridCol w:w="2325"/>
        <w:gridCol w:w="1395"/>
        <w:gridCol w:w="1305"/>
        <w:gridCol w:w="1350"/>
      </w:tblGrid>
      <w:tr w:rsidR="00DE4999" w:rsidRPr="00AB6A45">
        <w:tc>
          <w:tcPr>
            <w:tcW w:w="8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19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23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3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8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19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Një mori ngjarjesh mbi të dhënat e hapura janë organizuar me sukses</w:t>
            </w:r>
          </w:p>
        </w:tc>
        <w:tc>
          <w:tcPr>
            <w:tcW w:w="23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pjesëmarrësve të përfshirë në ngjarjet e ndërgjegjësimit</w:t>
            </w:r>
          </w:p>
        </w:tc>
        <w:tc>
          <w:tcPr>
            <w:tcW w:w="13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</w:tr>
      <w:tr w:rsidR="00DE4999" w:rsidRPr="00AB6A45">
        <w:tc>
          <w:tcPr>
            <w:tcW w:w="8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19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Është rritur përqindja e informacionit dhe dokumenteve të publikuara në mënyrë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proaktive</w:t>
            </w:r>
            <w:proofErr w:type="spellEnd"/>
          </w:p>
        </w:tc>
        <w:tc>
          <w:tcPr>
            <w:tcW w:w="23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institucioneve që publikuan në mënyrë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proaktive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dokumente dhe informacione zyrtare</w:t>
            </w:r>
          </w:p>
        </w:tc>
        <w:tc>
          <w:tcPr>
            <w:tcW w:w="13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  <w:tr w:rsidR="00DE4999" w:rsidRPr="00AB6A45">
        <w:tc>
          <w:tcPr>
            <w:tcW w:w="8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3. </w:t>
            </w:r>
          </w:p>
        </w:tc>
        <w:tc>
          <w:tcPr>
            <w:tcW w:w="19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Broshura dhe forma të tjera të informimit mbi rëndësinë e të dhënave të hapura konceptohen, hartohen dhe shpërndahen tek qytetarët.</w:t>
            </w:r>
          </w:p>
        </w:tc>
        <w:tc>
          <w:tcPr>
            <w:tcW w:w="23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broshurave të shpërndara</w:t>
            </w:r>
          </w:p>
        </w:tc>
        <w:tc>
          <w:tcPr>
            <w:tcW w:w="139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pStyle w:val="Heading2"/>
        <w:numPr>
          <w:ilvl w:val="0"/>
          <w:numId w:val="6"/>
        </w:numPr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9" w:name="_heading=h.4d34og8" w:colFirst="0" w:colLast="0"/>
      <w:bookmarkEnd w:id="9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lastRenderedPageBreak/>
        <w:t xml:space="preserve">PJESËMARRJA QYTETARE  </w:t>
      </w:r>
    </w:p>
    <w:p w:rsidR="00DE4999" w:rsidRPr="00AB6A45" w:rsidRDefault="00DE4999">
      <w:pPr>
        <w:pStyle w:val="Heading2"/>
        <w:rPr>
          <w:rFonts w:ascii="Roboto Condensed" w:eastAsia="Roboto Condensed" w:hAnsi="Roboto Condensed" w:cs="Roboto Condensed"/>
          <w:color w:val="000000"/>
          <w:sz w:val="24"/>
          <w:szCs w:val="24"/>
          <w:highlight w:val="white"/>
          <w:lang w:val="sq-AL"/>
        </w:rPr>
      </w:pPr>
    </w:p>
    <w:tbl>
      <w:tblPr>
        <w:tblStyle w:val="ae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60"/>
      </w:tblGrid>
      <w:tr w:rsidR="00DE4999" w:rsidRPr="00AB6A45">
        <w:tc>
          <w:tcPr>
            <w:tcW w:w="909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1: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Përmirësimi i platformave ekzistuese për pjesëmarrjen e qytetarëve në proceset vendimmarrëse duke ofruar asistencë teknike dhe ngritjen e kapaciteteve për zyrtarët publikë</w:t>
            </w:r>
          </w:p>
        </w:tc>
      </w:tr>
      <w:tr w:rsidR="00DE4999" w:rsidRPr="00AB6A45">
        <w:tc>
          <w:tcPr>
            <w:tcW w:w="9090" w:type="dxa"/>
            <w:gridSpan w:val="2"/>
          </w:tcPr>
          <w:p w:rsidR="00DE4999" w:rsidRPr="00AB6A45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 – 01/03/202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6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Edhe pse në parim procesi i planifikimit të buxhetit komunal është një proces i hapur për publikun, shpesh ndodh që të ketë mungesë të konsiderueshme të reagimeve nga qytetarët, kryesisht për shkak të vonesave në shpalljen e ftesave për diskutime nga institucionet publike.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Nëpërmjet koordinimit dhe bashkëpunimit më të ngushtë ndërmjet komunave dhe shoqërisë civile dhe qytetarëve në përgjithësi, do të jetë e mundur të sigurohet që informacioni të ofrohet menjëherë si dhe më përpara.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Një bashkëpunim i tillë do të mundësojë ngritjen e nivelit të pjesëmarrjes së të rinjve në aktivitete të tilla. Nga çka është vërejtur në përgjithësi,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grupmoshat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më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targetuara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dëgjime dhe debate publike janë moshat më të mëdha.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6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përmirësohen platformat ekzistuese për pjesëmarrjen e qytetarëve në proceset vendimmarrëse duke ofruar asistencë teknike dhe ngritjen e kapaciteteve për zyrtarët publikë komunalë.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Ofrimi i asistencës teknike dhe ngritja e kapaciteteve për zyrtarët publikë për të planifikuar më mirë dhe me efektivitet takimet/konsultimet e tyre me qytetarët si dhe ndërgjegjësimin e zyrtarëve publikë për rëndësinë e përfshirjes së të rinjve në procese të tilla. Konkretisht, për të përmbushur zotimin, qeveria do të:</w:t>
            </w:r>
          </w:p>
          <w:p w:rsidR="00DE4999" w:rsidRPr="00AB6A45" w:rsidRDefault="00AB6A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Ofroj asistencë teknike dhe ngritje kapacitetesh për zyrtarët publikë për të planifikuar më mirë dhe në mënyrë efektive takimet/konsultimet e tyre me qytetarët</w:t>
            </w:r>
          </w:p>
          <w:p w:rsidR="00DE4999" w:rsidRPr="00AB6A45" w:rsidRDefault="00AB6A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Marr parasysh sugjerimet e qytetarëve gjatë dëgjimeve publike dhe të ndjek rekomandimet e dhëna për të inkurajuar pjesëmarrjen e qytetarëve në të ardhmen</w:t>
            </w:r>
          </w:p>
          <w:p w:rsidR="00DE4999" w:rsidRPr="00AB6A45" w:rsidRDefault="00AB6A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Promovoj dhe mirëmbaj platformat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dixhitale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 qeveritare ekzistuese për konsultime publike </w:t>
            </w:r>
          </w:p>
          <w:p w:rsidR="00DE4999" w:rsidRPr="00AB6A45" w:rsidRDefault="00AB6A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>Angazhoj të rinjtë në vendimmarrje për të pasur më shumë përfshirje dhe përfaqësim të shqetësimeve publike</w:t>
            </w:r>
          </w:p>
          <w:p w:rsidR="00DE4999" w:rsidRPr="00AB6A45" w:rsidRDefault="00AB6A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t xml:space="preserve">Komunikimi i informacionit duhet të bëhet përmes platformave të mediave sociale, </w:t>
            </w:r>
            <w:r w:rsidRPr="00AB6A45">
              <w:rPr>
                <w:rFonts w:ascii="Roboto Condensed" w:eastAsia="Roboto Condensed" w:hAnsi="Roboto Condensed" w:cs="Roboto Condensed"/>
                <w:color w:val="000000"/>
                <w:highlight w:val="white"/>
                <w:lang w:val="sq-AL"/>
              </w:rPr>
              <w:lastRenderedPageBreak/>
              <w:t>faqes zyrtare të komunës, pamfleteve, Radiotelevizionit etj., për informimin më të mirë të qytetarëve.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Si kontribuon zotimi në zgjidhjen e problemit të identifikuar?</w:t>
            </w:r>
          </w:p>
        </w:tc>
        <w:tc>
          <w:tcPr>
            <w:tcW w:w="456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Ndërhyrjet që do të ndërmerren për përmbushjen e këtij zotimi kontribuojnë në përmirësimin e angazhimit më të mirë të qytetarëve, rritjen e mbikëqyrjes ekzekutive nga organet komunale dhe qeveritare, shoqëria civile dhe mediat, si dhe funksionimin e mekanizmave mbikëqyrës. Gjithashtu do të përmirësojë efikasitetin, transparencën dhe përfshirjen e publikut në vendime të rëndësishme dhe do të rrisë cilësinë e vendimmarrjes.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6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Forcon të drejtën qytetare për t'u dëgjuar dhe për të marrë pjesë aktive në proceset vendimmarrëse.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6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Rezultati i pritur i referohet një informacioni të qasshëm dhe të shpërndarë në kohë për publikun.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Në këtë mënyrë qytetarët mund të informohen në përputhje me rrethanat dhe do të rritet niveli i përfshirjes në proceset vendimmarrëse.</w:t>
            </w:r>
          </w:p>
        </w:tc>
      </w:tr>
    </w:tbl>
    <w:p w:rsidR="00DE4999" w:rsidRPr="00AB6A45" w:rsidRDefault="00DE4999">
      <w:pPr>
        <w:pStyle w:val="Heading2"/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80"/>
        <w:gridCol w:w="2265"/>
        <w:gridCol w:w="1410"/>
        <w:gridCol w:w="1260"/>
        <w:gridCol w:w="1350"/>
      </w:tblGrid>
      <w:tr w:rsidR="00DE4999" w:rsidRPr="00AB6A45">
        <w:tc>
          <w:tcPr>
            <w:tcW w:w="54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No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  <w:tc>
          <w:tcPr>
            <w:tcW w:w="22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22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4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2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54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2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Krijimi i mekanizmave për mbikëqyrjen e zbatimit të Ligjit për Vetëqeverisje Lokale, përkatësisht Udhëzimit Administrativ për Standardet Minimale të Konsultimeve Publike në Komuna.</w:t>
            </w:r>
          </w:p>
        </w:tc>
        <w:tc>
          <w:tcPr>
            <w:tcW w:w="22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qytetarëve dhe përfaqësuesve të shoqërisë civile që marrin pjesë në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dëgjesat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/konsultimet publike të organizuara nga autoritetet e nivelit vendor.</w:t>
            </w:r>
          </w:p>
        </w:tc>
        <w:tc>
          <w:tcPr>
            <w:tcW w:w="14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Komunat </w:t>
            </w:r>
          </w:p>
        </w:tc>
        <w:tc>
          <w:tcPr>
            <w:tcW w:w="12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01/03/2024</w:t>
            </w:r>
          </w:p>
        </w:tc>
      </w:tr>
      <w:tr w:rsidR="00DE4999" w:rsidRPr="00AB6A45">
        <w:tc>
          <w:tcPr>
            <w:tcW w:w="54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2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Krijimi i  mekanizmave për mbikëqyrjen e zbatimit të Rregullores për standardet minimale për procesin e konsultimit publik, e cila përcakton standardet, parimet dhe procedurat e procesit të konsultimit publik ndërmjet autoriteteve publike dhe palëve të interesit në procesin 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politikëbërjes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vendimmarrjes.</w:t>
            </w:r>
          </w:p>
        </w:tc>
        <w:tc>
          <w:tcPr>
            <w:tcW w:w="22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qytetarëve dhe përfaqësuesve të shoqërisë civile që marrin pjesë në dëgjimet/konsultimet publike të organizuara nga autoritetet e nivelit qendror</w:t>
            </w:r>
          </w:p>
        </w:tc>
        <w:tc>
          <w:tcPr>
            <w:tcW w:w="14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Të gjitha institucionet publike qendrore</w:t>
            </w:r>
          </w:p>
        </w:tc>
        <w:tc>
          <w:tcPr>
            <w:tcW w:w="12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01/03/2024</w:t>
            </w:r>
          </w:p>
        </w:tc>
      </w:tr>
      <w:tr w:rsidR="00DE4999" w:rsidRPr="00AB6A45">
        <w:tc>
          <w:tcPr>
            <w:tcW w:w="54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2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Rregullisht organizohen ngjarje për ngritjen e kapacitetit për zyrtarët publikë </w:t>
            </w:r>
          </w:p>
        </w:tc>
        <w:tc>
          <w:tcPr>
            <w:tcW w:w="226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zyrtarëve publikë të trajnuar.</w:t>
            </w:r>
          </w:p>
        </w:tc>
        <w:tc>
          <w:tcPr>
            <w:tcW w:w="141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Komunat</w:t>
            </w:r>
          </w:p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  <w:tc>
          <w:tcPr>
            <w:tcW w:w="126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</w:tr>
    </w:tbl>
    <w:p w:rsidR="00DE4999" w:rsidRPr="00AB6A45" w:rsidRDefault="00DE4999">
      <w:pPr>
        <w:rPr>
          <w:lang w:val="sq-AL"/>
        </w:rPr>
      </w:pPr>
    </w:p>
    <w:tbl>
      <w:tblPr>
        <w:tblStyle w:val="af0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470"/>
      </w:tblGrid>
      <w:tr w:rsidR="00DE4999" w:rsidRPr="00AB6A45">
        <w:tc>
          <w:tcPr>
            <w:tcW w:w="9000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2: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Mbështetja e nismave të shoqërisë civile në ngritjen e vetëdijes përmes fushatave për të parandaluar përhapjen e proceseve gjyqësore strategjike kundër pjesëmarrjes publike (SLAPP).</w:t>
            </w:r>
          </w:p>
        </w:tc>
      </w:tr>
      <w:tr w:rsidR="00DE4999" w:rsidRPr="00AB6A45">
        <w:tc>
          <w:tcPr>
            <w:tcW w:w="9000" w:type="dxa"/>
            <w:gridSpan w:val="2"/>
          </w:tcPr>
          <w:p w:rsidR="00DE4999" w:rsidRPr="00AB6A45" w:rsidRDefault="00AB6A45" w:rsidP="00612DB0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– 01/10/202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47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Kohët e fundit, në Republikën e Kosovës, ka pasur një rritje shqetësuese të numrit të lëndëve SLAPP (</w:t>
            </w:r>
            <w:r w:rsidRPr="00AB6A45">
              <w:rPr>
                <w:rFonts w:ascii="Roboto Condensed" w:eastAsia="Roboto Condensed" w:hAnsi="Roboto Condensed" w:cs="Roboto Condensed"/>
                <w:i/>
                <w:highlight w:val="white"/>
                <w:lang w:val="sq-AL"/>
              </w:rPr>
              <w:t>Proceset gjyqësore Strategjike kundër Pjesëmarrjes Publike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) të sjella në gjykata, të cilat përdoren për të kërcënuar aktivistët e shoqërisë civile për t’i heshtur, censuruar dhe dekurajuar ata që të flasin për interesin publik.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47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Përmes këtij zotimi, qeveria synon të konfirmojë qëndrimin e saj kundër përhapjes së padive të tilla përmes organizimit të tryezave dhe konferencave të ndryshme, duke konfirmuar kështu qëndrimin pozitiv ndaj zërave kritikë që vijnë nga qytetarët dhe përfaqësuesit e shoqërisë civile.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47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Kundërshtimi i padive të tilla nga qeveria dhe zyrtarët lokalë do të rrisë ndërgjegjësimin e publikut të gjerë për rreziqet e këtyre padive në lidhje me shprehjen e mendimit të lirë dhe të drejtën qytetare për pjesëmarrje publike.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47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Promovimi i transparencës, lirisë individuale për të shprehur një mendim dhe të drejtës për pjesëmarrje publike.</w:t>
            </w:r>
          </w:p>
        </w:tc>
      </w:tr>
      <w:tr w:rsidR="00DE4999" w:rsidRPr="00AB6A45">
        <w:tc>
          <w:tcPr>
            <w:tcW w:w="45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47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Zëri i Qeverisë kundër SLAPP është evident.</w:t>
            </w:r>
          </w:p>
        </w:tc>
      </w:tr>
    </w:tbl>
    <w:p w:rsidR="00DE4999" w:rsidRPr="00AB6A45" w:rsidRDefault="00DE4999">
      <w:pPr>
        <w:pStyle w:val="Heading2"/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1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730"/>
        <w:gridCol w:w="1380"/>
        <w:gridCol w:w="1650"/>
        <w:gridCol w:w="1305"/>
        <w:gridCol w:w="1305"/>
      </w:tblGrid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7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3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6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7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Pjesëmarrja në tryeza/konferenca kundër përhapjes së proceseve gjyqësore strategjike kundër pjesëmarrjes publike</w:t>
            </w:r>
          </w:p>
        </w:tc>
        <w:tc>
          <w:tcPr>
            <w:tcW w:w="13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ngjarjeve në të cilat është marr pjesë</w:t>
            </w:r>
          </w:p>
        </w:tc>
        <w:tc>
          <w:tcPr>
            <w:tcW w:w="16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Kryeministrit, Ministritë dhe Komunat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7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Mbështetja e organizatave të shoqërisë civile në fushatat kundër SLAPP</w:t>
            </w:r>
          </w:p>
        </w:tc>
        <w:tc>
          <w:tcPr>
            <w:tcW w:w="13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fushatave të mbështetura</w:t>
            </w:r>
          </w:p>
        </w:tc>
        <w:tc>
          <w:tcPr>
            <w:tcW w:w="16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Kryeministrit, Ministritë dhe Komunat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  <w:tr w:rsidR="00DE4999" w:rsidRPr="00AB6A45">
        <w:tc>
          <w:tcPr>
            <w:tcW w:w="6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73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Miratimi i Direktivës së ardhshme të BE-së kundër SLAPP</w:t>
            </w:r>
          </w:p>
        </w:tc>
        <w:tc>
          <w:tcPr>
            <w:tcW w:w="138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Direktiva e miratuar</w:t>
            </w:r>
          </w:p>
        </w:tc>
        <w:tc>
          <w:tcPr>
            <w:tcW w:w="16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01/10/2024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2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4500"/>
      </w:tblGrid>
      <w:tr w:rsidR="00DE4999" w:rsidRPr="00AB6A45">
        <w:tc>
          <w:tcPr>
            <w:tcW w:w="8985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Zotimi 3: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Krijimi i mekanizmave për ankesat e qytetarëve në lidhje me shërbimet e institucioneve publike</w:t>
            </w:r>
          </w:p>
        </w:tc>
      </w:tr>
      <w:tr w:rsidR="00DE4999" w:rsidRPr="00AB6A45">
        <w:tc>
          <w:tcPr>
            <w:tcW w:w="8985" w:type="dxa"/>
            <w:gridSpan w:val="2"/>
          </w:tcPr>
          <w:p w:rsidR="00DE4999" w:rsidRPr="00AB6A45" w:rsidRDefault="00AB6A45" w:rsidP="009C3028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 – 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0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Mekanizmat e ankesave u mundësojnë qytetarëve t'u japin autoriteteve publike komente mbi standardet e shërbimeve që marrin.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Këta mekanizma luajnë një rol të rëndësishëm dhe lejojnë zyrtarët publikë dhe të zgjedhur të identifikojnë se ku ofrohen shërbimet publike në mënyrë joefektive dhe/ose joefikase. Kur mekanizma të tillë trajtojnë shpejt ankesat, ato mund të ndihmojnë në krijimin e kushteve për rritjen e besimit mes qytetarëve dhe institucioneve publike. Mekanizma të tillë mund të ndihmojnë gjithashtu qeveritë qendrore dhe vendore për të identifikuar ide të reja dhe për të rritur pjesëmarrjen e qytetarëve.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0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Dizajnimi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lansimi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i një platforme, pra një aplikacioni për telefona të </w:t>
            </w:r>
            <w:r w:rsidR="00612DB0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mençur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që do të mundësonte komunikimin e reagimeve të qytetarëve ndaj institucionit publik.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0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Një kanal i krijuar për ankesa do të ketë një ndikim të madh në cilësinë e shërbimeve publike dhe në llogaridhënien e institucioneve. Ai gjithashtu do të shërbejë si një mundësi për zyrtarët e zgjedhur që t'i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përshtasin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shërbimet e institucionit komunal me nevojat e qytetarëve.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0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Mekanizmat e ankesave mund të rrisin llogaridhënien dhe transparencën e institucioneve publike si dhe të rrisin pjesëmarrjen qytetare.</w:t>
            </w:r>
          </w:p>
        </w:tc>
      </w:tr>
      <w:tr w:rsidR="00DE4999" w:rsidRPr="00AB6A45">
        <w:tc>
          <w:tcPr>
            <w:tcW w:w="448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00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Krijimi i mekanizmave për ankesat e qytetarëve në lidhje me shërbimet e institucioneve publike.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3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535"/>
        <w:gridCol w:w="1590"/>
        <w:gridCol w:w="1605"/>
        <w:gridCol w:w="1350"/>
        <w:gridCol w:w="1305"/>
      </w:tblGrid>
      <w:tr w:rsidR="00DE4999" w:rsidRPr="00AB6A45">
        <w:tc>
          <w:tcPr>
            <w:tcW w:w="6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5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6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Krijimi i mjeteve të qëndrueshme (aplikacione për telefonat inteligjentë) që do t'u ofronin qytetarëve mundësinë për të dhënë komentet e tyre në ofrimin e shërbimeve publike.</w:t>
            </w:r>
          </w:p>
        </w:tc>
        <w:tc>
          <w:tcPr>
            <w:tcW w:w="15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Funksionalizimi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lancimi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i aplikacionit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</w:t>
            </w:r>
          </w:p>
        </w:tc>
        <w:tc>
          <w:tcPr>
            <w:tcW w:w="1350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02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5" w:type="dxa"/>
          </w:tcPr>
          <w:p w:rsidR="00DE4999" w:rsidRPr="00AB6A45" w:rsidRDefault="00612DB0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</w:t>
            </w:r>
            <w:r w:rsidR="00AB6A45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/2023</w:t>
            </w:r>
          </w:p>
        </w:tc>
      </w:tr>
      <w:tr w:rsidR="00DE4999" w:rsidRPr="00AB6A45">
        <w:tc>
          <w:tcPr>
            <w:tcW w:w="6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Organizimi i fushatave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promovuese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për mekanizmin e ankesave që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targetojnë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të gjithë qytetarët</w:t>
            </w:r>
          </w:p>
        </w:tc>
        <w:tc>
          <w:tcPr>
            <w:tcW w:w="15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fushatave të organizuara</w:t>
            </w:r>
          </w:p>
        </w:tc>
        <w:tc>
          <w:tcPr>
            <w:tcW w:w="16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Zyra e Kryeministrit dhe komunat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01/03/2023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01/06/2023</w:t>
            </w:r>
          </w:p>
        </w:tc>
      </w:tr>
      <w:tr w:rsidR="00DE4999" w:rsidRPr="00AB6A45">
        <w:tc>
          <w:tcPr>
            <w:tcW w:w="60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Ngritja e kapaciteteve të stafit përkatës në përdorimin e aplikacionit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dhe gjenerimin e të dhënave nga mjeti (aplikacioni)</w:t>
            </w:r>
          </w:p>
        </w:tc>
        <w:tc>
          <w:tcPr>
            <w:tcW w:w="159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Numri i stafit të trajnuar</w:t>
            </w:r>
          </w:p>
        </w:tc>
        <w:tc>
          <w:tcPr>
            <w:tcW w:w="1605" w:type="dxa"/>
          </w:tcPr>
          <w:p w:rsidR="00DE4999" w:rsidRPr="00AB6A45" w:rsidRDefault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Ministritë</w:t>
            </w:r>
            <w:r w:rsidR="00AB6A45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komunat</w:t>
            </w:r>
          </w:p>
        </w:tc>
        <w:tc>
          <w:tcPr>
            <w:tcW w:w="1350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01/09/2023</w:t>
            </w:r>
          </w:p>
        </w:tc>
        <w:tc>
          <w:tcPr>
            <w:tcW w:w="1305" w:type="dxa"/>
          </w:tcPr>
          <w:p w:rsidR="00DE4999" w:rsidRPr="00AB6A45" w:rsidRDefault="00AB6A45" w:rsidP="009C3028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9C3028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AB6A45">
      <w:pPr>
        <w:pStyle w:val="Heading2"/>
        <w:numPr>
          <w:ilvl w:val="0"/>
          <w:numId w:val="6"/>
        </w:numPr>
        <w:rPr>
          <w:rFonts w:ascii="Roboto Condensed" w:eastAsia="Roboto Condensed" w:hAnsi="Roboto Condensed" w:cs="Roboto Condensed"/>
          <w:highlight w:val="white"/>
          <w:lang w:val="sq-AL"/>
        </w:rPr>
      </w:pPr>
      <w:bookmarkStart w:id="10" w:name="_heading=h.2s8eyo1" w:colFirst="0" w:colLast="0"/>
      <w:bookmarkEnd w:id="10"/>
      <w:r w:rsidRPr="00AB6A45">
        <w:rPr>
          <w:rFonts w:ascii="Roboto Condensed" w:eastAsia="Roboto Condensed" w:hAnsi="Roboto Condensed" w:cs="Roboto Condensed"/>
          <w:highlight w:val="white"/>
          <w:lang w:val="sq-AL"/>
        </w:rPr>
        <w:t xml:space="preserve">KUNDËR-KORRUPSIONI </w:t>
      </w:r>
    </w:p>
    <w:p w:rsidR="00DE4999" w:rsidRPr="00AB6A45" w:rsidRDefault="00AB6A45">
      <w:pPr>
        <w:pStyle w:val="Heading2"/>
        <w:rPr>
          <w:rFonts w:ascii="Roboto Condensed" w:eastAsia="Roboto Condensed" w:hAnsi="Roboto Condensed" w:cs="Roboto Condensed"/>
          <w:color w:val="000000"/>
          <w:sz w:val="24"/>
          <w:szCs w:val="24"/>
          <w:highlight w:val="white"/>
          <w:lang w:val="sq-AL"/>
        </w:rPr>
      </w:pPr>
      <w:r w:rsidRPr="00AB6A45">
        <w:rPr>
          <w:rFonts w:ascii="Roboto Condensed" w:eastAsia="Roboto Condensed" w:hAnsi="Roboto Condensed" w:cs="Roboto Condensed"/>
          <w:color w:val="000000"/>
          <w:sz w:val="24"/>
          <w:szCs w:val="24"/>
          <w:highlight w:val="white"/>
          <w:lang w:val="sq-AL"/>
        </w:rPr>
        <w:t xml:space="preserve"> </w:t>
      </w:r>
    </w:p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481"/>
      </w:tblGrid>
      <w:tr w:rsidR="00DE4999" w:rsidRPr="00AB6A45">
        <w:tc>
          <w:tcPr>
            <w:tcW w:w="9016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1: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Sistem plotësisht i hapur i prokurimit publik</w:t>
            </w:r>
          </w:p>
        </w:tc>
      </w:tr>
      <w:tr w:rsidR="00DE4999" w:rsidRPr="00AB6A45">
        <w:tc>
          <w:tcPr>
            <w:tcW w:w="9016" w:type="dxa"/>
            <w:gridSpan w:val="2"/>
          </w:tcPr>
          <w:p w:rsidR="00DE4999" w:rsidRPr="00AB6A45" w:rsidRDefault="00AB6A45" w:rsidP="00612DB0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 – 01/12/202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E-prokurimi është një sistem pjesërisht i hapur i Prokurimit Publik.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Sistem plotësisht i hapur i prokurimit publik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Hapja e të dhënave në lidhje me të gjitha nivelet e prokurimit publik (nga faza para tenderimit, faza e tenderimit dhe faza pas tenderimit e tutje) në një format të lexueshëm nga makineria, e bën prokurimin publik të hapur dhe transparent, në mënyrë që individët ose grupet e caktuara të gëzojnë qasje të lehtë në informacion.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Qasja në informacione të lexueshme nga makineritë ka të bëjë me qeverisjen e mirë, çiltërsinë, transparencën dhe llogaridhënien sa i përket shpenzimit të parave publike dhe rritjes së mirëqenies së qytetarëve dhe përmirësimit të shërbimeve publike.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Krijimi i mundësisë së qasjes plotësisht të hapur në prokurimin elektronik.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5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63"/>
        <w:gridCol w:w="1825"/>
        <w:gridCol w:w="1544"/>
        <w:gridCol w:w="1315"/>
        <w:gridCol w:w="1311"/>
      </w:tblGrid>
      <w:tr w:rsidR="00DE4999" w:rsidRPr="00AB6A45">
        <w:tc>
          <w:tcPr>
            <w:tcW w:w="568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563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8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54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3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1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568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563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Shqyrtimi i të gjitha mangësive aktuale në prokurimin publik përmes seminareve/grupeve të punës</w:t>
            </w:r>
          </w:p>
        </w:tc>
        <w:tc>
          <w:tcPr>
            <w:tcW w:w="18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Problemet ekzistuese janë identifikuar dhe rregulluar</w:t>
            </w:r>
          </w:p>
        </w:tc>
        <w:tc>
          <w:tcPr>
            <w:tcW w:w="154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KRrPP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, Ministria e Financave</w:t>
            </w:r>
          </w:p>
        </w:tc>
        <w:tc>
          <w:tcPr>
            <w:tcW w:w="13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31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68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563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Hyrja në fuqi e Ligjit të ri të Prokurimit Publik</w:t>
            </w:r>
          </w:p>
        </w:tc>
        <w:tc>
          <w:tcPr>
            <w:tcW w:w="18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Ligji i ri i miratuar</w:t>
            </w:r>
          </w:p>
        </w:tc>
        <w:tc>
          <w:tcPr>
            <w:tcW w:w="154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KRrPP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, Ministria e Financave</w:t>
            </w:r>
          </w:p>
        </w:tc>
        <w:tc>
          <w:tcPr>
            <w:tcW w:w="13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31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68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563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Monitorimi i zbatimit të Ligjit të ri për Prokurimin Publik</w:t>
            </w:r>
          </w:p>
        </w:tc>
        <w:tc>
          <w:tcPr>
            <w:tcW w:w="18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Miratimi i akteve nënligjore që sigurojnë zbatimin më të mirë të ligjit të ri</w:t>
            </w:r>
          </w:p>
        </w:tc>
        <w:tc>
          <w:tcPr>
            <w:tcW w:w="1544" w:type="dxa"/>
          </w:tcPr>
          <w:p w:rsidR="00DE4999" w:rsidRPr="00AB6A45" w:rsidRDefault="00DE4999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</w:p>
        </w:tc>
        <w:tc>
          <w:tcPr>
            <w:tcW w:w="13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31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68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4. </w:t>
            </w:r>
          </w:p>
        </w:tc>
        <w:tc>
          <w:tcPr>
            <w:tcW w:w="2563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Zhvillimi i rregullave, mjeteve dhe udhëzimeve të reja në lidhje me zbatimin e një sistemi të hapur të prokurimit elektronik, në ofrimin e informacionit dhe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shërbimeve të lexueshme nga makineritë.</w:t>
            </w:r>
          </w:p>
        </w:tc>
        <w:tc>
          <w:tcPr>
            <w:tcW w:w="182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Numri i mjeteve dhe udhëzimeve të hartuara</w:t>
            </w:r>
          </w:p>
        </w:tc>
        <w:tc>
          <w:tcPr>
            <w:tcW w:w="154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KRrPP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, Ministria e Financave</w:t>
            </w:r>
          </w:p>
        </w:tc>
        <w:tc>
          <w:tcPr>
            <w:tcW w:w="131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01/01/2023</w:t>
            </w:r>
          </w:p>
        </w:tc>
        <w:tc>
          <w:tcPr>
            <w:tcW w:w="131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481"/>
      </w:tblGrid>
      <w:tr w:rsidR="00DE4999" w:rsidRPr="00AB6A45">
        <w:tc>
          <w:tcPr>
            <w:tcW w:w="9016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2: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 xml:space="preserve">Rritja e transparencës së sistemit gjyqësor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prokurorial</w:t>
            </w:r>
            <w:proofErr w:type="spellEnd"/>
          </w:p>
        </w:tc>
      </w:tr>
      <w:tr w:rsidR="00DE4999" w:rsidRPr="00AB6A45">
        <w:tc>
          <w:tcPr>
            <w:tcW w:w="9016" w:type="dxa"/>
            <w:gridSpan w:val="2"/>
          </w:tcPr>
          <w:p w:rsidR="00DE4999" w:rsidRPr="00AB6A45" w:rsidRDefault="00612DB0" w:rsidP="00612DB0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01/01</w:t>
            </w:r>
            <w:r w:rsidR="00AB6A45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/202</w:t>
            </w:r>
            <w: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  <w:r w:rsidR="00AB6A45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– 31/12/202</w:t>
            </w:r>
            <w: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Mungesa e transparencës në adresimin e shkeljeve disiplinore ndaj gjyqtarëve dhe prokurorëve, si dhe mungesa e publikimit të informacioneve të tjera publike.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Rritja e transparencës së sistemit gjyqësor dhe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prokurorial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Rritja e llogaridhënies dhe publicitetit të punës së gjykatave dhe prokurorëve.</w:t>
            </w:r>
          </w:p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Rritja e besimit të publikut në punën e këtyre institucioneve. Rritja e ndërgjegjësimit të qytetarëve për adresimin e ankesave për shkelje disiplinore nga gjyqtarët dhe prokurorët.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Rritja e transparencës dhe publicitetit të organeve të sistemit të drejtësisë është një faktor kyç në luftën kundër korrupsionit, si dhe në ndërtimin e besimit të publikut në punën e këtyre institucioneve.</w:t>
            </w:r>
          </w:p>
        </w:tc>
      </w:tr>
      <w:tr w:rsidR="00DE4999" w:rsidRPr="00AB6A45">
        <w:tc>
          <w:tcPr>
            <w:tcW w:w="453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481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Rritja e transparencës së institucioneve të drejtësisë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7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471"/>
        <w:gridCol w:w="1524"/>
        <w:gridCol w:w="1826"/>
        <w:gridCol w:w="1357"/>
        <w:gridCol w:w="1354"/>
      </w:tblGrid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Bartësi i </w:t>
            </w:r>
            <w:r w:rsidR="00612DB0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aktivitetit</w:t>
            </w:r>
          </w:p>
        </w:tc>
        <w:tc>
          <w:tcPr>
            <w:tcW w:w="135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fillimit</w:t>
            </w:r>
          </w:p>
        </w:tc>
        <w:tc>
          <w:tcPr>
            <w:tcW w:w="135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Data e përfundimit</w:t>
            </w:r>
          </w:p>
        </w:tc>
      </w:tr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Krijimi i një njësie të veçantë në sistemin gjyqësor, që merret me rastet e korrupsionit, njësoj si Njësia për Krime Ekonomike dhe Korrupsion në Prokurorinë Themelore në Prishtinë.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Ka filluar krijimi i një njësie speciale që merret me luftën kundër korrupsionit</w:t>
            </w:r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Qeveria e Kosovës/Ministria e Drejtësisë, Kuvendi, KGJK, dhe KPK</w:t>
            </w:r>
          </w:p>
        </w:tc>
        <w:tc>
          <w:tcPr>
            <w:tcW w:w="1357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54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2. 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Rastet e korrupsionit, veçanërisht ato të profilit të lartë, trajtohen me prioritet absolut nga sistemi i drejtësisë.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rasteve të trajtuara</w:t>
            </w:r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KGJK, KPK dhe gjykatat dhe prokuroritë përkatëse</w:t>
            </w:r>
          </w:p>
        </w:tc>
        <w:tc>
          <w:tcPr>
            <w:tcW w:w="1357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54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Publikohen të gjitha raportet statistikore në faqen zyrtare të sistemit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prokurorial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gjyqësor për numrin e rasteve të zgjidhura dhe trajtimin e rasteve të korrupsionit.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Raporte dhe të dhëna të tjera të publikuara në platformat përkatëse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KGJK, KPK dhe gjykatat dhe prokuroritë përkatëse</w:t>
            </w:r>
          </w:p>
        </w:tc>
        <w:tc>
          <w:tcPr>
            <w:tcW w:w="1357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54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4.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Publikohen vendimet përfundimtare në lidhje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me trajtimin e shkeljeve disiplinore nga gjyqtarët dhe prokurorët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Numri i vendimeve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përfundimtare për shkeljet disiplinore të publikuara në platformat përkatëse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online</w:t>
            </w:r>
            <w:proofErr w:type="spellEnd"/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KGJK, KPK dhe gjykatat dhe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prokuroritë përkatëse</w:t>
            </w:r>
          </w:p>
        </w:tc>
        <w:tc>
          <w:tcPr>
            <w:tcW w:w="1357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54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59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5.</w:t>
            </w:r>
          </w:p>
        </w:tc>
        <w:tc>
          <w:tcPr>
            <w:tcW w:w="247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Janë shqiptuar dënime dhe masa më të ashpra disiplinore ndaj gjyqtarëve dhe prokurorëve që shkelin ligjin, kodin e etikës ose detyrën zyrtare.</w:t>
            </w:r>
          </w:p>
        </w:tc>
        <w:tc>
          <w:tcPr>
            <w:tcW w:w="1524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dënimeve të shqiptuara</w:t>
            </w:r>
          </w:p>
        </w:tc>
        <w:tc>
          <w:tcPr>
            <w:tcW w:w="1826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KGJK, KPK dhe gjykatat dhe prokuroritë përkatëse</w:t>
            </w:r>
          </w:p>
        </w:tc>
        <w:tc>
          <w:tcPr>
            <w:tcW w:w="1357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01/10/202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54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7"/>
        <w:gridCol w:w="4529"/>
      </w:tblGrid>
      <w:tr w:rsidR="00DE4999" w:rsidRPr="00AB6A45">
        <w:tc>
          <w:tcPr>
            <w:tcW w:w="9016" w:type="dxa"/>
            <w:gridSpan w:val="2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Zotimi 3: </w:t>
            </w:r>
            <w:r w:rsidRPr="00AB6A45">
              <w:rPr>
                <w:rFonts w:ascii="Roboto Condensed" w:eastAsia="Roboto Condensed" w:hAnsi="Roboto Condensed" w:cs="Roboto Condensed"/>
                <w:sz w:val="24"/>
                <w:szCs w:val="24"/>
                <w:highlight w:val="white"/>
                <w:lang w:val="sq-AL"/>
              </w:rPr>
              <w:t>Rritja e transparencës së institucioneve të rekrutimit për postet e larta shtetërore</w:t>
            </w:r>
          </w:p>
        </w:tc>
      </w:tr>
      <w:tr w:rsidR="00DE4999" w:rsidRPr="00AB6A45">
        <w:tc>
          <w:tcPr>
            <w:tcW w:w="9016" w:type="dxa"/>
            <w:gridSpan w:val="2"/>
          </w:tcPr>
          <w:p w:rsidR="00DE4999" w:rsidRPr="00AB6A45" w:rsidRDefault="00AB6A45" w:rsidP="00612DB0">
            <w:pPr>
              <w:jc w:val="center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01/09/202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– 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448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problemi i adresuar nga ky zotim?</w:t>
            </w:r>
          </w:p>
        </w:tc>
        <w:tc>
          <w:tcPr>
            <w:tcW w:w="4529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Mungesa e transparencës gjatë vlerësimit të kandidatëve për poste të larta shtetërore</w:t>
            </w:r>
          </w:p>
        </w:tc>
      </w:tr>
      <w:tr w:rsidR="00DE4999" w:rsidRPr="00AB6A45">
        <w:tc>
          <w:tcPr>
            <w:tcW w:w="448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Cili është zotimi?</w:t>
            </w:r>
          </w:p>
        </w:tc>
        <w:tc>
          <w:tcPr>
            <w:tcW w:w="4529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Rritja e transparencës së institucioneve të rekrutimit</w:t>
            </w:r>
          </w:p>
        </w:tc>
      </w:tr>
      <w:tr w:rsidR="00DE4999" w:rsidRPr="00AB6A45">
        <w:tc>
          <w:tcPr>
            <w:tcW w:w="448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Si kontribuon zotimi në zgjidhjen e problemit të identifikuar?</w:t>
            </w:r>
          </w:p>
        </w:tc>
        <w:tc>
          <w:tcPr>
            <w:tcW w:w="4529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Zhvillimi i proceseve transparente dhe të përgjegjshme të rekrutimit, bazuar në parimin e publicitetit, si dhe duke përfshirë pjesëmarrjen e gjerë të shoqërisë civile</w:t>
            </w:r>
          </w:p>
        </w:tc>
      </w:tr>
      <w:tr w:rsidR="00DE4999" w:rsidRPr="00AB6A45">
        <w:tc>
          <w:tcPr>
            <w:tcW w:w="448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Pse është i rëndësishëm zotimi për vlerat e PQH-së?</w:t>
            </w:r>
          </w:p>
        </w:tc>
        <w:tc>
          <w:tcPr>
            <w:tcW w:w="4529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Përzgjedhja e personave meritorë dhe kompetentë në institucionet publike, bazuar në parimet e transparencës, llogaridhënies dhe barazisë së kandidatëve, padyshim do të ndikojë në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performancën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dhe besueshmërinë e institucioneve publike përkatëse.</w:t>
            </w:r>
          </w:p>
        </w:tc>
      </w:tr>
      <w:tr w:rsidR="00DE4999" w:rsidRPr="00AB6A45">
        <w:tc>
          <w:tcPr>
            <w:tcW w:w="448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Përshkrimi i rezultateve të pritura</w:t>
            </w:r>
          </w:p>
        </w:tc>
        <w:tc>
          <w:tcPr>
            <w:tcW w:w="4529" w:type="dxa"/>
          </w:tcPr>
          <w:p w:rsidR="00DE4999" w:rsidRPr="00AB6A45" w:rsidRDefault="00AB6A45">
            <w:pPr>
              <w:jc w:val="both"/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Është rritur ndjeshmëria dhe ndërgjegjësimi për rëndësinë e proceseve të rekrutimit për postet e larta shtetërore.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tbl>
      <w:tblPr>
        <w:tblStyle w:val="a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2102"/>
        <w:gridCol w:w="2052"/>
        <w:gridCol w:w="1637"/>
        <w:gridCol w:w="1305"/>
        <w:gridCol w:w="1301"/>
      </w:tblGrid>
      <w:tr w:rsidR="00DE4999" w:rsidRPr="00AB6A45">
        <w:tc>
          <w:tcPr>
            <w:tcW w:w="619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Nr.</w:t>
            </w:r>
          </w:p>
        </w:tc>
        <w:tc>
          <w:tcPr>
            <w:tcW w:w="210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Arritjet</w:t>
            </w:r>
          </w:p>
        </w:tc>
        <w:tc>
          <w:tcPr>
            <w:tcW w:w="205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Indikatorët</w:t>
            </w:r>
          </w:p>
        </w:tc>
        <w:tc>
          <w:tcPr>
            <w:tcW w:w="163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Bartësi i aktivitetit</w:t>
            </w:r>
          </w:p>
        </w:tc>
        <w:tc>
          <w:tcPr>
            <w:tcW w:w="1305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Start Date</w:t>
            </w:r>
          </w:p>
        </w:tc>
        <w:tc>
          <w:tcPr>
            <w:tcW w:w="1301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End Date</w:t>
            </w:r>
          </w:p>
        </w:tc>
      </w:tr>
      <w:tr w:rsidR="00DE4999" w:rsidRPr="00AB6A45">
        <w:tc>
          <w:tcPr>
            <w:tcW w:w="619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1.</w:t>
            </w:r>
          </w:p>
        </w:tc>
        <w:tc>
          <w:tcPr>
            <w:tcW w:w="210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Procesi i përzgjedhjes së kandidatëve për poste të larta publike është transparent dhe votimi nga anëtarët e panelit intervistues është publik</w:t>
            </w:r>
          </w:p>
        </w:tc>
        <w:tc>
          <w:tcPr>
            <w:tcW w:w="205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Numri i procesverbaleve të publikuara gjatë procesit të </w:t>
            </w: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intervistimit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të kandidatëve</w:t>
            </w:r>
          </w:p>
        </w:tc>
        <w:tc>
          <w:tcPr>
            <w:tcW w:w="163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Kuvendi i Republikës së Kosovës / komisionet parlamentare, si dhe institucionet tjera përgjegjëse për zgjedhjen e pozitave të larta shtetërore; </w:t>
            </w: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Agjencia Kundër Korrupsion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>01/09/202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619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lastRenderedPageBreak/>
              <w:t xml:space="preserve">2. </w:t>
            </w:r>
          </w:p>
        </w:tc>
        <w:tc>
          <w:tcPr>
            <w:tcW w:w="210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Anëtarët e panelit intervistues japin justifikimet dhe arsyetimin për pikët përkatëse për secilin kandidat.</w:t>
            </w:r>
          </w:p>
        </w:tc>
        <w:tc>
          <w:tcPr>
            <w:tcW w:w="205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Qasja në raportet e anëtarëve të panelit intervistues</w:t>
            </w:r>
          </w:p>
        </w:tc>
        <w:tc>
          <w:tcPr>
            <w:tcW w:w="163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Kuvendi i Republikës së Kosovës / komisionet parlamentare, si dhe institucionet tjera përgjegjëse për zgjedhjen e pozitave të larta shtetërore; Agjencia Kundër Korrupsion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01/09/202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619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3.</w:t>
            </w:r>
          </w:p>
        </w:tc>
        <w:tc>
          <w:tcPr>
            <w:tcW w:w="210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Listat e kandidatëve që plotësojnë kriteret formale për poste të larta shtetërore i dorëzohen Agjencisë Kundër Korrupsionit për një opinion ligjor për një konflikt të mundshëm interesi.</w:t>
            </w:r>
          </w:p>
        </w:tc>
        <w:tc>
          <w:tcPr>
            <w:tcW w:w="205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Numri i listave të kandidatëve të dorëzuara në AKK</w:t>
            </w:r>
          </w:p>
        </w:tc>
        <w:tc>
          <w:tcPr>
            <w:tcW w:w="163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Kuvendi i Republikës së Kosovës / komisionet parlamentare, si dhe institucionet tjera përgjegjëse për zgjedhjen e pozitave të larta shtetërore; Agjencia Kundër Korrupsion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01/09/202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  <w:tr w:rsidR="00DE4999" w:rsidRPr="00AB6A45">
        <w:tc>
          <w:tcPr>
            <w:tcW w:w="619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4. </w:t>
            </w:r>
          </w:p>
        </w:tc>
        <w:tc>
          <w:tcPr>
            <w:tcW w:w="2102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Procedurat për rekrutimin e posteve të larta shtetërore janë të standardizuara dhe të unifikuara</w:t>
            </w:r>
          </w:p>
        </w:tc>
        <w:tc>
          <w:tcPr>
            <w:tcW w:w="2052" w:type="dxa"/>
          </w:tcPr>
          <w:p w:rsidR="00DE4999" w:rsidRPr="00AB6A45" w:rsidRDefault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Udhëzues</w:t>
            </w:r>
            <w:r w:rsidR="00AB6A45"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 xml:space="preserve"> që përcaktojnë procedurat e rekrutimit në mënyrë të standardizuar dhe të unifikuar</w:t>
            </w:r>
          </w:p>
        </w:tc>
        <w:tc>
          <w:tcPr>
            <w:tcW w:w="1637" w:type="dxa"/>
          </w:tcPr>
          <w:p w:rsidR="00DE4999" w:rsidRPr="00AB6A45" w:rsidRDefault="00AB6A45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proofErr w:type="spellStart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Ibid</w:t>
            </w:r>
            <w:proofErr w:type="spellEnd"/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.</w:t>
            </w:r>
          </w:p>
        </w:tc>
        <w:tc>
          <w:tcPr>
            <w:tcW w:w="1305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01/09/202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</w:t>
            </w:r>
          </w:p>
        </w:tc>
        <w:tc>
          <w:tcPr>
            <w:tcW w:w="1301" w:type="dxa"/>
          </w:tcPr>
          <w:p w:rsidR="00DE4999" w:rsidRPr="00AB6A45" w:rsidRDefault="00AB6A45" w:rsidP="00612DB0">
            <w:pPr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</w:pPr>
            <w:r w:rsidRPr="00AB6A45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31/12/202</w:t>
            </w:r>
            <w:r w:rsidR="00612DB0">
              <w:rPr>
                <w:rFonts w:ascii="Roboto Condensed" w:eastAsia="Roboto Condensed" w:hAnsi="Roboto Condensed" w:cs="Roboto Condensed"/>
                <w:highlight w:val="white"/>
                <w:lang w:val="sq-AL"/>
              </w:rPr>
              <w:t>5</w:t>
            </w:r>
          </w:p>
        </w:tc>
      </w:tr>
    </w:tbl>
    <w:p w:rsidR="00DE4999" w:rsidRPr="00AB6A45" w:rsidRDefault="00DE4999">
      <w:pPr>
        <w:rPr>
          <w:rFonts w:ascii="Roboto Condensed" w:eastAsia="Roboto Condensed" w:hAnsi="Roboto Condensed" w:cs="Roboto Condensed"/>
          <w:highlight w:val="white"/>
          <w:lang w:val="sq-AL"/>
        </w:rPr>
      </w:pPr>
    </w:p>
    <w:sectPr w:rsidR="00DE4999" w:rsidRPr="00AB6A4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15" w:rsidRDefault="00B04715">
      <w:pPr>
        <w:spacing w:after="0" w:line="240" w:lineRule="auto"/>
      </w:pPr>
      <w:r>
        <w:separator/>
      </w:r>
    </w:p>
  </w:endnote>
  <w:endnote w:type="continuationSeparator" w:id="0">
    <w:p w:rsidR="00B04715" w:rsidRDefault="00B0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 Condensed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DB0">
      <w:rPr>
        <w:noProof/>
        <w:color w:val="000000"/>
      </w:rPr>
      <w:t>20</w:t>
    </w:r>
    <w:r>
      <w:rPr>
        <w:color w:val="000000"/>
      </w:rPr>
      <w:fldChar w:fldCharType="end"/>
    </w:r>
  </w:p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15" w:rsidRDefault="00B04715">
      <w:pPr>
        <w:spacing w:after="0" w:line="240" w:lineRule="auto"/>
      </w:pPr>
      <w:r>
        <w:separator/>
      </w:r>
    </w:p>
  </w:footnote>
  <w:footnote w:type="continuationSeparator" w:id="0">
    <w:p w:rsidR="00B04715" w:rsidRDefault="00B04715">
      <w:pPr>
        <w:spacing w:after="0" w:line="240" w:lineRule="auto"/>
      </w:pPr>
      <w:r>
        <w:continuationSeparator/>
      </w:r>
    </w:p>
  </w:footnote>
  <w:footnote w:id="1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Inaugurimi i Komitetit Nacional Koordinues në kuadër të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Open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Government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Partnership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– OGP (PQH) - </w:t>
      </w:r>
      <w:hyperlink r:id="rId1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https://bit.ly/3HKRjnK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</w:footnote>
  <w:footnote w:id="2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Kosova drejt një Plani të ri Kombëtar të Veprimit për OGP - </w:t>
      </w:r>
      <w:hyperlink r:id="rId2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https://opendatakosovo.medium.com/kosovo-towards-a-new-national-action-plan-for-ogp-d44e2f3fb6a3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</w:footnote>
  <w:footnote w:id="3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Portali për Hapjen e të Dhënave - </w:t>
      </w:r>
      <w:hyperlink r:id="rId3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https://opendata.rks-gov.net/en/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E-participimi - </w:t>
      </w:r>
      <w:hyperlink r:id="rId4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https://eparticipimi.opendatakosovo.org/issues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E-prokurimi - </w:t>
      </w:r>
      <w:hyperlink r:id="rId5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https://e-prokurimi.rks-gov.net/HOME/ClanakItemNew.aspx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Platforma e Konsultimeve Publike - </w:t>
      </w:r>
      <w:hyperlink r:id="rId6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https://konsultimet.rks-gov.net/index.php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</w:footnote>
  <w:footnote w:id="4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Modernizimi i Administratës Publike në Republikën e Kosovës - </w:t>
      </w:r>
      <w:hyperlink r:id="rId7">
        <w:r w:rsidRPr="00AB6A45">
          <w:rPr>
            <w:rFonts w:ascii="Garamond" w:eastAsia="Garamond" w:hAnsi="Garamond" w:cs="Garamond"/>
            <w:color w:val="1A0DAB"/>
            <w:sz w:val="20"/>
            <w:szCs w:val="20"/>
            <w:highlight w:val="white"/>
            <w:u w:val="single"/>
            <w:lang w:val="sq-AL"/>
          </w:rPr>
          <w:t>http://www.adjuris.ro/revista/articole/an7nr2/2.%20Avdullah%20Robaj.pdf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</w:footnote>
  <w:footnote w:id="5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Platforma E-Kosova - https://ekosova.rks-gov.net/#</w:t>
      </w:r>
    </w:p>
  </w:footnote>
  <w:footnote w:id="6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Agjencia për Informim dhe Privatësi  - </w:t>
      </w:r>
      <w:hyperlink r:id="rId8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https://aip.rks-gov.net/en/aip-english/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 </w:t>
      </w:r>
    </w:p>
  </w:footnote>
  <w:footnote w:id="7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Indeksi i perceptimit të korrupsionit,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Transparency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International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hyperlink r:id="rId9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https://www.transparency.org/en/cpi/2021/index/ksv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</w:footnote>
  <w:footnote w:id="8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Ngritja e Kosovës në Indeksin e perceptimit të korrupsionit e mirëpritur,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Pristina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  <w:proofErr w:type="spellStart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>Insight</w:t>
      </w:r>
      <w:proofErr w:type="spellEnd"/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- </w:t>
      </w:r>
      <w:hyperlink r:id="rId10">
        <w:r w:rsidRPr="00AB6A45">
          <w:rPr>
            <w:rFonts w:ascii="Garamond" w:eastAsia="Garamond" w:hAnsi="Garamond" w:cs="Garamond"/>
            <w:color w:val="0000FF"/>
            <w:sz w:val="20"/>
            <w:szCs w:val="20"/>
            <w:u w:val="single"/>
            <w:lang w:val="sq-AL"/>
          </w:rPr>
          <w:t>https://prishtinainsight.com/kosovos-rise-in-transparencys-corruption-index-welcomed/</w:t>
        </w:r>
      </w:hyperlink>
      <w:r w:rsidRPr="00AB6A45">
        <w:rPr>
          <w:rFonts w:ascii="Garamond" w:eastAsia="Garamond" w:hAnsi="Garamond" w:cs="Garamond"/>
          <w:color w:val="000000"/>
          <w:sz w:val="20"/>
          <w:szCs w:val="20"/>
          <w:lang w:val="sq-AL"/>
        </w:rPr>
        <w:t xml:space="preserve"> </w:t>
      </w:r>
    </w:p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  <w:lang w:val="sq-AL"/>
        </w:rPr>
      </w:pPr>
    </w:p>
  </w:footnote>
  <w:footnote w:id="9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color w:val="000000"/>
          <w:sz w:val="20"/>
          <w:szCs w:val="20"/>
          <w:lang w:val="sq-AL"/>
        </w:rPr>
        <w:t xml:space="preserve"> </w:t>
      </w:r>
      <w:hyperlink r:id="rId11">
        <w:r w:rsidRPr="00AB6A45">
          <w:rPr>
            <w:color w:val="0000FF"/>
            <w:sz w:val="20"/>
            <w:szCs w:val="20"/>
            <w:u w:val="single"/>
            <w:lang w:val="sq-AL"/>
          </w:rPr>
          <w:t>https://ogpkosova.org/news2</w:t>
        </w:r>
      </w:hyperlink>
      <w:r w:rsidRPr="00AB6A45">
        <w:rPr>
          <w:color w:val="000000"/>
          <w:sz w:val="20"/>
          <w:szCs w:val="20"/>
          <w:lang w:val="sq-AL"/>
        </w:rPr>
        <w:t xml:space="preserve"> </w:t>
      </w:r>
    </w:p>
  </w:footnote>
  <w:footnote w:id="10">
    <w:p w:rsidR="00AB6A45" w:rsidRPr="00AB6A45" w:rsidRDefault="00AB6A45" w:rsidP="00AB6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sq-AL"/>
        </w:rPr>
      </w:pPr>
      <w:r w:rsidRPr="00AB6A45">
        <w:rPr>
          <w:rStyle w:val="FootnoteReference"/>
          <w:lang w:val="sq-AL"/>
        </w:rPr>
        <w:footnoteRef/>
      </w:r>
      <w:r w:rsidRPr="00AB6A45">
        <w:rPr>
          <w:color w:val="000000"/>
          <w:sz w:val="20"/>
          <w:szCs w:val="20"/>
          <w:lang w:val="sq-AL"/>
        </w:rPr>
        <w:t xml:space="preserve"> </w:t>
      </w:r>
      <w:hyperlink r:id="rId12">
        <w:r w:rsidRPr="00AB6A45">
          <w:rPr>
            <w:color w:val="0000FF"/>
            <w:sz w:val="20"/>
            <w:szCs w:val="20"/>
            <w:u w:val="single"/>
            <w:lang w:val="sq-AL"/>
          </w:rPr>
          <w:t>https://ogpkosova.org/news4</w:t>
        </w:r>
      </w:hyperlink>
      <w:r w:rsidRPr="00AB6A45">
        <w:rPr>
          <w:color w:val="000000"/>
          <w:sz w:val="20"/>
          <w:szCs w:val="20"/>
          <w:lang w:val="sq-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767171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5" w:rsidRDefault="00AB6A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726"/>
    <w:multiLevelType w:val="multilevel"/>
    <w:tmpl w:val="9594C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23CC"/>
    <w:multiLevelType w:val="multilevel"/>
    <w:tmpl w:val="E200A8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3F7031"/>
    <w:multiLevelType w:val="multilevel"/>
    <w:tmpl w:val="939A0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57D5"/>
    <w:multiLevelType w:val="multilevel"/>
    <w:tmpl w:val="B50C4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2F90"/>
    <w:multiLevelType w:val="multilevel"/>
    <w:tmpl w:val="DD489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E97"/>
    <w:multiLevelType w:val="multilevel"/>
    <w:tmpl w:val="82BCE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62BC9"/>
    <w:multiLevelType w:val="multilevel"/>
    <w:tmpl w:val="EFA41A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9"/>
    <w:rsid w:val="00612DB0"/>
    <w:rsid w:val="009C3028"/>
    <w:rsid w:val="00AB6A45"/>
    <w:rsid w:val="00B04715"/>
    <w:rsid w:val="00D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BD584-C7BA-4F22-AD15-9EA7560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5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72E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E50"/>
    <w:rPr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2E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2E5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72E5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39E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E73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73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F12F2F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7D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D14"/>
    <w:pPr>
      <w:tabs>
        <w:tab w:val="right" w:leader="dot" w:pos="9016"/>
      </w:tabs>
      <w:spacing w:after="100"/>
      <w:ind w:left="440"/>
    </w:pPr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27D14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351F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2F2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F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2F2F"/>
    <w:pPr>
      <w:spacing w:after="0" w:line="240" w:lineRule="auto"/>
    </w:pPr>
    <w:rPr>
      <w:noProof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F2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7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29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29"/>
  </w:style>
  <w:style w:type="paragraph" w:customStyle="1" w:styleId="lang">
    <w:name w:val="lang"/>
    <w:basedOn w:val="Normal"/>
    <w:rsid w:val="0001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1E"/>
    <w:rPr>
      <w:noProof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3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38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38"/>
    <w:rPr>
      <w:b/>
      <w:bCs/>
      <w:noProof/>
      <w:sz w:val="20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rsid w:val="00663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0"/>
    <w:rPr>
      <w:rFonts w:ascii="Segoe UI" w:hAnsi="Segoe UI" w:cs="Segoe UI"/>
      <w:noProof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4F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B6A45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B6A45"/>
    <w:rPr>
      <w:rFonts w:ascii="Times New Roman" w:eastAsia="MS Mincho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rks-gov.net/en/aip-english/" TargetMode="External"/><Relationship Id="rId3" Type="http://schemas.openxmlformats.org/officeDocument/2006/relationships/hyperlink" Target="https://opendata.rks-gov.net/en/" TargetMode="External"/><Relationship Id="rId7" Type="http://schemas.openxmlformats.org/officeDocument/2006/relationships/hyperlink" Target="http://www.adjuris.ro/revista/articole/an7nr2/2.%20Avdullah%20Robaj.pdf" TargetMode="External"/><Relationship Id="rId12" Type="http://schemas.openxmlformats.org/officeDocument/2006/relationships/hyperlink" Target="https://ogpkosova.org/news4" TargetMode="External"/><Relationship Id="rId2" Type="http://schemas.openxmlformats.org/officeDocument/2006/relationships/hyperlink" Target="https://opendatakosovo.medium.com/kosovo-towards-a-new-national-action-plan-for-ogp-d44e2f3fb6a3" TargetMode="External"/><Relationship Id="rId1" Type="http://schemas.openxmlformats.org/officeDocument/2006/relationships/hyperlink" Target="https://bit.ly/3HKRjnK" TargetMode="External"/><Relationship Id="rId6" Type="http://schemas.openxmlformats.org/officeDocument/2006/relationships/hyperlink" Target="https://konsultimet.rks-gov.net/index.php" TargetMode="External"/><Relationship Id="rId11" Type="http://schemas.openxmlformats.org/officeDocument/2006/relationships/hyperlink" Target="https://ogpkosova.org/news2" TargetMode="External"/><Relationship Id="rId5" Type="http://schemas.openxmlformats.org/officeDocument/2006/relationships/hyperlink" Target="https://e-prokurimi.rks-gov.net/HOME/ClanakItemNew.aspx" TargetMode="External"/><Relationship Id="rId10" Type="http://schemas.openxmlformats.org/officeDocument/2006/relationships/hyperlink" Target="https://prishtinainsight.com/kosovos-rise-in-transparencys-corruption-index-welcomed/" TargetMode="External"/><Relationship Id="rId4" Type="http://schemas.openxmlformats.org/officeDocument/2006/relationships/hyperlink" Target="https://eparticipimi.opendatakosovo.org/issues" TargetMode="External"/><Relationship Id="rId9" Type="http://schemas.openxmlformats.org/officeDocument/2006/relationships/hyperlink" Target="https://www.transparency.org/en/cpi/2021/index/k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J702Xi7MvYcJvOXaPhf2A1ibg==">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bardhyl@metamorphosis.org.mk</dc:creator>
  <cp:lastModifiedBy>mapl</cp:lastModifiedBy>
  <cp:revision>2</cp:revision>
  <dcterms:created xsi:type="dcterms:W3CDTF">2022-09-01T11:56:00Z</dcterms:created>
  <dcterms:modified xsi:type="dcterms:W3CDTF">2022-09-01T11:56:00Z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0x010100498533CACD15D74DB3614785FC5B17C5</vt:lpwstr>
  </property>
</Properties>
</file>