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9288"/>
      </w:tblGrid>
      <w:tr w:rsidR="00212965" w:rsidRPr="00180A8B" w:rsidTr="00FB010B">
        <w:trPr>
          <w:trHeight w:val="993"/>
        </w:trPr>
        <w:tc>
          <w:tcPr>
            <w:tcW w:w="9288" w:type="dxa"/>
            <w:vAlign w:val="center"/>
          </w:tcPr>
          <w:p w:rsidR="00212965" w:rsidRPr="00180A8B" w:rsidRDefault="00212965" w:rsidP="00ED122E">
            <w:pPr>
              <w:pStyle w:val="Subtitle"/>
              <w:spacing w:after="0"/>
              <w:rPr>
                <w:rFonts w:ascii="Book Antiqua" w:eastAsia="MS Mincho" w:hAnsi="Book Antiqua"/>
                <w:sz w:val="20"/>
                <w:szCs w:val="20"/>
              </w:rPr>
            </w:pPr>
            <w:r w:rsidRPr="00180A8B">
              <w:rPr>
                <w:rFonts w:ascii="Book Antiqua" w:eastAsia="MS Mincho" w:hAnsi="Book Antiqua" w:cs="Cambria"/>
                <w:noProof/>
                <w:sz w:val="20"/>
                <w:szCs w:val="20"/>
                <w:lang w:eastAsia="en-US"/>
              </w:rPr>
              <w:drawing>
                <wp:anchor distT="0" distB="0" distL="114300" distR="114300" simplePos="0" relativeHeight="251660288" behindDoc="1" locked="0" layoutInCell="1" allowOverlap="1" wp14:anchorId="0F458D21" wp14:editId="7A43E428">
                  <wp:simplePos x="0" y="0"/>
                  <wp:positionH relativeFrom="column">
                    <wp:posOffset>2428240</wp:posOffset>
                  </wp:positionH>
                  <wp:positionV relativeFrom="paragraph">
                    <wp:posOffset>24130</wp:posOffset>
                  </wp:positionV>
                  <wp:extent cx="838200" cy="9283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8200" cy="928370"/>
                          </a:xfrm>
                          <a:prstGeom prst="rect">
                            <a:avLst/>
                          </a:prstGeom>
                          <a:noFill/>
                        </pic:spPr>
                      </pic:pic>
                    </a:graphicData>
                  </a:graphic>
                </wp:anchor>
              </w:drawing>
            </w:r>
          </w:p>
          <w:p w:rsidR="00212965" w:rsidRPr="00180A8B" w:rsidRDefault="00212965" w:rsidP="00ED122E">
            <w:pPr>
              <w:spacing w:after="0" w:line="240" w:lineRule="auto"/>
              <w:jc w:val="center"/>
              <w:rPr>
                <w:rFonts w:ascii="Book Antiqua" w:eastAsia="MS Mincho" w:hAnsi="Book Antiqua" w:cs="Book Antiqua"/>
                <w:sz w:val="20"/>
                <w:szCs w:val="20"/>
              </w:rPr>
            </w:pPr>
          </w:p>
          <w:p w:rsidR="00212965" w:rsidRPr="00180A8B" w:rsidRDefault="00212965" w:rsidP="00ED122E">
            <w:pPr>
              <w:spacing w:after="0" w:line="240" w:lineRule="auto"/>
              <w:jc w:val="center"/>
              <w:rPr>
                <w:rFonts w:ascii="Book Antiqua" w:eastAsia="MS Mincho" w:hAnsi="Book Antiqua" w:cs="Book Antiqua"/>
                <w:sz w:val="20"/>
                <w:szCs w:val="20"/>
              </w:rPr>
            </w:pPr>
          </w:p>
          <w:p w:rsidR="00212965" w:rsidRPr="00180A8B" w:rsidRDefault="00212965" w:rsidP="00ED122E">
            <w:pPr>
              <w:spacing w:after="0" w:line="240" w:lineRule="auto"/>
              <w:jc w:val="center"/>
              <w:rPr>
                <w:rFonts w:ascii="Book Antiqua" w:eastAsia="MS Mincho" w:hAnsi="Book Antiqua" w:cs="Book Antiqua"/>
                <w:sz w:val="20"/>
                <w:szCs w:val="20"/>
              </w:rPr>
            </w:pPr>
          </w:p>
          <w:p w:rsidR="00212965" w:rsidRPr="00180A8B" w:rsidRDefault="00212965" w:rsidP="00ED122E">
            <w:pPr>
              <w:spacing w:after="0" w:line="240" w:lineRule="auto"/>
              <w:jc w:val="center"/>
              <w:rPr>
                <w:rFonts w:ascii="Book Antiqua" w:eastAsia="MS Mincho" w:hAnsi="Book Antiqua" w:cs="Book Antiqua"/>
                <w:sz w:val="20"/>
                <w:szCs w:val="20"/>
              </w:rPr>
            </w:pPr>
          </w:p>
          <w:p w:rsidR="00212965" w:rsidRPr="00180A8B" w:rsidRDefault="00212965" w:rsidP="00ED122E">
            <w:pPr>
              <w:spacing w:after="0" w:line="240" w:lineRule="auto"/>
              <w:rPr>
                <w:rFonts w:ascii="Book Antiqua" w:eastAsia="MS Mincho" w:hAnsi="Book Antiqua" w:cs="Book Antiqua"/>
                <w:b/>
                <w:bCs/>
                <w:sz w:val="20"/>
                <w:szCs w:val="20"/>
              </w:rPr>
            </w:pPr>
          </w:p>
          <w:p w:rsidR="00212965" w:rsidRPr="00180A8B" w:rsidRDefault="00212965" w:rsidP="00ED122E">
            <w:pPr>
              <w:spacing w:after="0" w:line="240" w:lineRule="auto"/>
              <w:jc w:val="center"/>
              <w:rPr>
                <w:rFonts w:ascii="Book Antiqua" w:eastAsia="Batang" w:hAnsi="Book Antiqua"/>
                <w:b/>
                <w:bCs/>
                <w:sz w:val="20"/>
                <w:szCs w:val="20"/>
              </w:rPr>
            </w:pPr>
            <w:bookmarkStart w:id="0" w:name="OLE_LINK3"/>
            <w:r w:rsidRPr="00180A8B">
              <w:rPr>
                <w:rFonts w:ascii="Book Antiqua" w:eastAsia="MS Mincho" w:hAnsi="Book Antiqua" w:cs="Book Antiqua"/>
                <w:b/>
                <w:bCs/>
                <w:sz w:val="20"/>
                <w:szCs w:val="20"/>
              </w:rPr>
              <w:t>Republika e Kosovës</w:t>
            </w:r>
          </w:p>
          <w:p w:rsidR="00212965" w:rsidRPr="00180A8B" w:rsidRDefault="00212965" w:rsidP="00ED122E">
            <w:pPr>
              <w:spacing w:after="0" w:line="240" w:lineRule="auto"/>
              <w:jc w:val="center"/>
              <w:rPr>
                <w:rFonts w:ascii="Book Antiqua" w:eastAsia="MS Mincho" w:hAnsi="Book Antiqua" w:cs="Book Antiqua"/>
                <w:b/>
                <w:bCs/>
                <w:sz w:val="20"/>
                <w:szCs w:val="20"/>
              </w:rPr>
            </w:pPr>
            <w:r w:rsidRPr="00180A8B">
              <w:rPr>
                <w:rFonts w:ascii="Book Antiqua" w:eastAsia="Batang" w:hAnsi="Book Antiqua" w:cs="Book Antiqua"/>
                <w:b/>
                <w:bCs/>
                <w:sz w:val="20"/>
                <w:szCs w:val="20"/>
              </w:rPr>
              <w:t>Republika Kosova-</w:t>
            </w:r>
            <w:r w:rsidRPr="00180A8B">
              <w:rPr>
                <w:rFonts w:ascii="Book Antiqua" w:eastAsia="MS Mincho" w:hAnsi="Book Antiqua" w:cs="Book Antiqua"/>
                <w:b/>
                <w:bCs/>
                <w:sz w:val="20"/>
                <w:szCs w:val="20"/>
              </w:rPr>
              <w:t>Republic of Kosovo</w:t>
            </w:r>
          </w:p>
          <w:p w:rsidR="00212965" w:rsidRPr="00180A8B" w:rsidRDefault="00212965" w:rsidP="00ED122E">
            <w:pPr>
              <w:spacing w:after="0" w:line="240" w:lineRule="auto"/>
              <w:jc w:val="center"/>
              <w:rPr>
                <w:rFonts w:ascii="Book Antiqua" w:eastAsia="MS Mincho" w:hAnsi="Book Antiqua" w:cs="Book Antiqua"/>
                <w:sz w:val="20"/>
                <w:szCs w:val="20"/>
              </w:rPr>
            </w:pPr>
            <w:r w:rsidRPr="00180A8B">
              <w:rPr>
                <w:rFonts w:ascii="Book Antiqua" w:eastAsia="MS Mincho" w:hAnsi="Book Antiqua" w:cs="Book Antiqua"/>
                <w:b/>
                <w:bCs/>
                <w:i/>
                <w:iCs/>
                <w:sz w:val="20"/>
                <w:szCs w:val="20"/>
              </w:rPr>
              <w:t xml:space="preserve">Qeveria –Vlada – Government </w:t>
            </w:r>
            <w:bookmarkEnd w:id="0"/>
          </w:p>
        </w:tc>
      </w:tr>
      <w:tr w:rsidR="00212965" w:rsidRPr="00180A8B" w:rsidTr="00FB010B">
        <w:tc>
          <w:tcPr>
            <w:tcW w:w="9288" w:type="dxa"/>
            <w:vAlign w:val="center"/>
          </w:tcPr>
          <w:p w:rsidR="00212965" w:rsidRPr="00180A8B" w:rsidRDefault="00212965" w:rsidP="00ED122E">
            <w:pPr>
              <w:spacing w:after="0" w:line="240" w:lineRule="auto"/>
              <w:jc w:val="center"/>
              <w:rPr>
                <w:rFonts w:ascii="Book Antiqua" w:eastAsia="MS Mincho" w:hAnsi="Book Antiqua" w:cs="Book Antiqua"/>
                <w:i/>
                <w:iCs/>
                <w:sz w:val="20"/>
                <w:szCs w:val="20"/>
              </w:rPr>
            </w:pPr>
            <w:r w:rsidRPr="00180A8B">
              <w:rPr>
                <w:rFonts w:ascii="Book Antiqua" w:eastAsia="MS Mincho" w:hAnsi="Book Antiqua" w:cs="Book Antiqua"/>
                <w:bCs/>
                <w:i/>
                <w:iCs/>
                <w:sz w:val="20"/>
                <w:szCs w:val="20"/>
              </w:rPr>
              <w:t>Zyra e Kryeministrit</w:t>
            </w:r>
          </w:p>
          <w:p w:rsidR="00212965" w:rsidRPr="00180A8B" w:rsidRDefault="00212965" w:rsidP="00ED122E">
            <w:pPr>
              <w:spacing w:after="0" w:line="240" w:lineRule="auto"/>
              <w:jc w:val="center"/>
              <w:rPr>
                <w:rFonts w:ascii="Book Antiqua" w:eastAsia="MS Mincho" w:hAnsi="Book Antiqua" w:cs="Book Antiqua"/>
                <w:bCs/>
                <w:i/>
                <w:iCs/>
                <w:sz w:val="20"/>
                <w:szCs w:val="20"/>
              </w:rPr>
            </w:pPr>
            <w:r w:rsidRPr="00180A8B">
              <w:rPr>
                <w:rFonts w:ascii="Book Antiqua" w:eastAsia="MS Mincho" w:hAnsi="Book Antiqua" w:cs="Book Antiqua"/>
                <w:bCs/>
                <w:i/>
                <w:iCs/>
                <w:color w:val="000000"/>
                <w:sz w:val="20"/>
                <w:szCs w:val="20"/>
              </w:rPr>
              <w:t xml:space="preserve">Ured Premijera – </w:t>
            </w:r>
            <w:r w:rsidRPr="00180A8B">
              <w:rPr>
                <w:rFonts w:ascii="Book Antiqua" w:eastAsia="MS Mincho" w:hAnsi="Book Antiqua" w:cs="Book Antiqua"/>
                <w:bCs/>
                <w:i/>
                <w:iCs/>
                <w:sz w:val="20"/>
                <w:szCs w:val="20"/>
              </w:rPr>
              <w:t>Office of the Prime Minister</w:t>
            </w:r>
          </w:p>
        </w:tc>
      </w:tr>
    </w:tbl>
    <w:p w:rsidR="00CF398E" w:rsidRPr="00180A8B" w:rsidRDefault="00CF398E" w:rsidP="00ED122E">
      <w:pPr>
        <w:spacing w:line="240" w:lineRule="auto"/>
        <w:rPr>
          <w:rFonts w:ascii="Book Antiqua" w:hAnsi="Book Antiqua"/>
          <w:bCs/>
          <w:smallCaps/>
          <w:sz w:val="20"/>
          <w:szCs w:val="20"/>
        </w:rPr>
      </w:pPr>
    </w:p>
    <w:p w:rsidR="00CF398E" w:rsidRPr="00180A8B" w:rsidRDefault="00CF398E" w:rsidP="00ED122E">
      <w:pPr>
        <w:spacing w:line="240" w:lineRule="auto"/>
        <w:jc w:val="center"/>
        <w:rPr>
          <w:rFonts w:ascii="Book Antiqua" w:hAnsi="Book Antiqua"/>
          <w:bCs/>
          <w:smallCaps/>
          <w:sz w:val="20"/>
          <w:szCs w:val="20"/>
        </w:rPr>
      </w:pPr>
    </w:p>
    <w:p w:rsidR="00CF398E" w:rsidRPr="00180A8B" w:rsidRDefault="00CF398E" w:rsidP="00ED122E">
      <w:pPr>
        <w:spacing w:line="240" w:lineRule="auto"/>
        <w:jc w:val="center"/>
        <w:outlineLvl w:val="0"/>
        <w:rPr>
          <w:rFonts w:ascii="Book Antiqua" w:hAnsi="Book Antiqua"/>
          <w:bCs/>
          <w:smallCaps/>
          <w:sz w:val="20"/>
          <w:szCs w:val="20"/>
        </w:rPr>
      </w:pPr>
    </w:p>
    <w:p w:rsidR="00CF398E" w:rsidRPr="00180A8B" w:rsidRDefault="00CF398E" w:rsidP="00ED122E">
      <w:pPr>
        <w:spacing w:line="240" w:lineRule="auto"/>
        <w:jc w:val="center"/>
        <w:outlineLvl w:val="0"/>
        <w:rPr>
          <w:rFonts w:ascii="Book Antiqua" w:hAnsi="Book Antiqua"/>
          <w:bCs/>
          <w:smallCaps/>
          <w:sz w:val="20"/>
          <w:szCs w:val="20"/>
        </w:rPr>
      </w:pPr>
    </w:p>
    <w:p w:rsidR="000B4EBC" w:rsidRPr="00180A8B" w:rsidRDefault="000B4EBC" w:rsidP="00ED122E">
      <w:pPr>
        <w:spacing w:line="240" w:lineRule="auto"/>
        <w:jc w:val="center"/>
        <w:outlineLvl w:val="0"/>
        <w:rPr>
          <w:rFonts w:ascii="Book Antiqua" w:hAnsi="Book Antiqua"/>
          <w:bCs/>
          <w:smallCaps/>
          <w:sz w:val="20"/>
          <w:szCs w:val="20"/>
        </w:rPr>
      </w:pPr>
    </w:p>
    <w:p w:rsidR="00CF398E" w:rsidRPr="00180A8B" w:rsidRDefault="00CF398E" w:rsidP="00ED122E">
      <w:pPr>
        <w:spacing w:line="240" w:lineRule="auto"/>
        <w:jc w:val="center"/>
        <w:outlineLvl w:val="0"/>
        <w:rPr>
          <w:rFonts w:ascii="Book Antiqua" w:hAnsi="Book Antiqua"/>
          <w:b/>
          <w:bCs/>
          <w:sz w:val="24"/>
          <w:szCs w:val="24"/>
        </w:rPr>
      </w:pPr>
      <w:r w:rsidRPr="00180A8B">
        <w:rPr>
          <w:rFonts w:ascii="Book Antiqua" w:hAnsi="Book Antiqua"/>
          <w:b/>
          <w:bCs/>
          <w:sz w:val="24"/>
          <w:szCs w:val="24"/>
        </w:rPr>
        <w:t xml:space="preserve">RAPORTI </w:t>
      </w:r>
    </w:p>
    <w:p w:rsidR="00CF398E" w:rsidRPr="00180A8B" w:rsidRDefault="00CF398E" w:rsidP="00ED122E">
      <w:pPr>
        <w:spacing w:line="240" w:lineRule="auto"/>
        <w:jc w:val="center"/>
        <w:rPr>
          <w:rFonts w:ascii="Book Antiqua" w:hAnsi="Book Antiqua"/>
          <w:b/>
          <w:bCs/>
          <w:sz w:val="24"/>
          <w:szCs w:val="24"/>
        </w:rPr>
      </w:pPr>
      <w:r w:rsidRPr="00180A8B">
        <w:rPr>
          <w:rFonts w:ascii="Book Antiqua" w:hAnsi="Book Antiqua"/>
          <w:b/>
          <w:bCs/>
          <w:sz w:val="24"/>
          <w:szCs w:val="24"/>
        </w:rPr>
        <w:t xml:space="preserve">Nga procesi i konsultimeve publike </w:t>
      </w:r>
      <w:r w:rsidR="00EC0373" w:rsidRPr="00180A8B">
        <w:rPr>
          <w:rFonts w:ascii="Book Antiqua" w:hAnsi="Book Antiqua"/>
          <w:b/>
          <w:bCs/>
          <w:sz w:val="24"/>
          <w:szCs w:val="24"/>
        </w:rPr>
        <w:t>për</w:t>
      </w:r>
      <w:r w:rsidRPr="00180A8B">
        <w:rPr>
          <w:rFonts w:ascii="Book Antiqua" w:hAnsi="Book Antiqua"/>
          <w:b/>
          <w:bCs/>
          <w:sz w:val="24"/>
          <w:szCs w:val="24"/>
        </w:rPr>
        <w:t xml:space="preserve"> </w:t>
      </w:r>
    </w:p>
    <w:p w:rsidR="00CF398E" w:rsidRPr="00180A8B" w:rsidRDefault="00CF398E" w:rsidP="00ED122E">
      <w:pPr>
        <w:spacing w:line="240" w:lineRule="auto"/>
        <w:jc w:val="center"/>
        <w:rPr>
          <w:rFonts w:ascii="Book Antiqua" w:hAnsi="Book Antiqua"/>
          <w:b/>
          <w:sz w:val="24"/>
          <w:szCs w:val="24"/>
        </w:rPr>
      </w:pPr>
      <w:r w:rsidRPr="00180A8B">
        <w:rPr>
          <w:rFonts w:ascii="Book Antiqua" w:hAnsi="Book Antiqua"/>
          <w:b/>
          <w:sz w:val="24"/>
          <w:szCs w:val="24"/>
        </w:rPr>
        <w:t>Programin Kombëtar për Zbatimin e Marrëveshjes së St</w:t>
      </w:r>
      <w:r w:rsidR="00212965" w:rsidRPr="00180A8B">
        <w:rPr>
          <w:rFonts w:ascii="Book Antiqua" w:hAnsi="Book Antiqua"/>
          <w:b/>
          <w:sz w:val="24"/>
          <w:szCs w:val="24"/>
        </w:rPr>
        <w:t>abilizim-Asociimit (PKZMSA) 202</w:t>
      </w:r>
      <w:r w:rsidR="003C5637" w:rsidRPr="00180A8B">
        <w:rPr>
          <w:rFonts w:ascii="Book Antiqua" w:hAnsi="Book Antiqua"/>
          <w:b/>
          <w:sz w:val="24"/>
          <w:szCs w:val="24"/>
        </w:rPr>
        <w:t>2</w:t>
      </w:r>
      <w:r w:rsidR="00212965" w:rsidRPr="00180A8B">
        <w:rPr>
          <w:rFonts w:ascii="Book Antiqua" w:hAnsi="Book Antiqua"/>
          <w:b/>
          <w:sz w:val="24"/>
          <w:szCs w:val="24"/>
        </w:rPr>
        <w:t xml:space="preserve"> – 202</w:t>
      </w:r>
      <w:r w:rsidR="003C5637" w:rsidRPr="00180A8B">
        <w:rPr>
          <w:rFonts w:ascii="Book Antiqua" w:hAnsi="Book Antiqua"/>
          <w:b/>
          <w:sz w:val="24"/>
          <w:szCs w:val="24"/>
        </w:rPr>
        <w:t>6</w:t>
      </w:r>
    </w:p>
    <w:p w:rsidR="00CF398E" w:rsidRPr="00180A8B" w:rsidRDefault="00CF398E" w:rsidP="00ED122E">
      <w:pPr>
        <w:spacing w:line="240" w:lineRule="auto"/>
        <w:jc w:val="center"/>
        <w:rPr>
          <w:rFonts w:ascii="Book Antiqua" w:hAnsi="Book Antiqua" w:cs="Calibri"/>
          <w:b/>
          <w:sz w:val="20"/>
          <w:szCs w:val="20"/>
        </w:rPr>
      </w:pPr>
    </w:p>
    <w:p w:rsidR="00CF398E" w:rsidRPr="00180A8B" w:rsidRDefault="00CF398E" w:rsidP="00ED122E">
      <w:pPr>
        <w:spacing w:line="240" w:lineRule="auto"/>
        <w:rPr>
          <w:rFonts w:ascii="Book Antiqua" w:hAnsi="Book Antiqua"/>
          <w:b/>
          <w:sz w:val="20"/>
          <w:szCs w:val="20"/>
        </w:rPr>
      </w:pPr>
    </w:p>
    <w:p w:rsidR="00CF398E" w:rsidRPr="00180A8B" w:rsidRDefault="00CF398E" w:rsidP="00ED122E">
      <w:pPr>
        <w:spacing w:line="240" w:lineRule="auto"/>
        <w:rPr>
          <w:rFonts w:ascii="Book Antiqua" w:hAnsi="Book Antiqua"/>
          <w:b/>
          <w:sz w:val="20"/>
          <w:szCs w:val="20"/>
        </w:rPr>
      </w:pPr>
    </w:p>
    <w:p w:rsidR="000B4EBC" w:rsidRPr="00180A8B" w:rsidRDefault="000B4EBC" w:rsidP="00ED122E">
      <w:pPr>
        <w:spacing w:line="240" w:lineRule="auto"/>
        <w:rPr>
          <w:rFonts w:ascii="Book Antiqua" w:hAnsi="Book Antiqua"/>
          <w:b/>
          <w:sz w:val="20"/>
          <w:szCs w:val="20"/>
        </w:rPr>
      </w:pPr>
    </w:p>
    <w:p w:rsidR="000B4EBC" w:rsidRPr="00180A8B" w:rsidRDefault="000B4EBC" w:rsidP="00ED122E">
      <w:pPr>
        <w:spacing w:line="240" w:lineRule="auto"/>
        <w:rPr>
          <w:rFonts w:ascii="Book Antiqua" w:hAnsi="Book Antiqua"/>
          <w:b/>
          <w:sz w:val="20"/>
          <w:szCs w:val="20"/>
        </w:rPr>
      </w:pPr>
    </w:p>
    <w:p w:rsidR="00CF398E" w:rsidRPr="00180A8B" w:rsidRDefault="00CF398E" w:rsidP="00ED122E">
      <w:pPr>
        <w:spacing w:line="240" w:lineRule="auto"/>
        <w:rPr>
          <w:rFonts w:ascii="Book Antiqua" w:hAnsi="Book Antiqua"/>
          <w:b/>
          <w:sz w:val="20"/>
          <w:szCs w:val="20"/>
        </w:rPr>
      </w:pPr>
    </w:p>
    <w:p w:rsidR="00CF398E" w:rsidRPr="00180A8B" w:rsidRDefault="00CF398E" w:rsidP="00ED122E">
      <w:pPr>
        <w:spacing w:line="240" w:lineRule="auto"/>
        <w:rPr>
          <w:rFonts w:ascii="Book Antiqua" w:hAnsi="Book Antiqua"/>
          <w:b/>
          <w:sz w:val="20"/>
          <w:szCs w:val="20"/>
        </w:rPr>
      </w:pPr>
    </w:p>
    <w:p w:rsidR="00CF398E" w:rsidRPr="00180A8B" w:rsidRDefault="00CF398E" w:rsidP="00ED122E">
      <w:pPr>
        <w:spacing w:line="240" w:lineRule="auto"/>
        <w:rPr>
          <w:rFonts w:ascii="Book Antiqua" w:hAnsi="Book Antiqua"/>
          <w:b/>
          <w:sz w:val="20"/>
          <w:szCs w:val="20"/>
        </w:rPr>
      </w:pPr>
    </w:p>
    <w:p w:rsidR="00AB5F3C" w:rsidRPr="00180A8B" w:rsidRDefault="00AB5F3C" w:rsidP="00ED122E">
      <w:pPr>
        <w:spacing w:line="240" w:lineRule="auto"/>
        <w:jc w:val="center"/>
        <w:outlineLvl w:val="0"/>
        <w:rPr>
          <w:rFonts w:ascii="Book Antiqua" w:hAnsi="Book Antiqua"/>
          <w:b/>
          <w:sz w:val="20"/>
          <w:szCs w:val="20"/>
        </w:rPr>
      </w:pPr>
    </w:p>
    <w:p w:rsidR="00AB5F3C" w:rsidRPr="00180A8B" w:rsidRDefault="00AB5F3C" w:rsidP="00ED122E">
      <w:pPr>
        <w:spacing w:line="240" w:lineRule="auto"/>
        <w:jc w:val="center"/>
        <w:outlineLvl w:val="0"/>
        <w:rPr>
          <w:rFonts w:ascii="Book Antiqua" w:hAnsi="Book Antiqua"/>
          <w:b/>
          <w:sz w:val="20"/>
          <w:szCs w:val="20"/>
        </w:rPr>
      </w:pPr>
    </w:p>
    <w:p w:rsidR="00AB5F3C" w:rsidRPr="00180A8B" w:rsidRDefault="00AB5F3C" w:rsidP="00ED122E">
      <w:pPr>
        <w:spacing w:line="240" w:lineRule="auto"/>
        <w:jc w:val="center"/>
        <w:outlineLvl w:val="0"/>
        <w:rPr>
          <w:rFonts w:ascii="Book Antiqua" w:hAnsi="Book Antiqua"/>
          <w:b/>
          <w:sz w:val="20"/>
          <w:szCs w:val="20"/>
        </w:rPr>
      </w:pPr>
    </w:p>
    <w:p w:rsidR="00AB5F3C" w:rsidRPr="00180A8B" w:rsidRDefault="00AB5F3C" w:rsidP="00ED122E">
      <w:pPr>
        <w:spacing w:line="240" w:lineRule="auto"/>
        <w:jc w:val="center"/>
        <w:outlineLvl w:val="0"/>
        <w:rPr>
          <w:rFonts w:ascii="Book Antiqua" w:hAnsi="Book Antiqua"/>
          <w:b/>
          <w:sz w:val="20"/>
          <w:szCs w:val="20"/>
        </w:rPr>
      </w:pPr>
    </w:p>
    <w:p w:rsidR="00AB5F3C" w:rsidRPr="00180A8B" w:rsidRDefault="00AB5F3C" w:rsidP="00ED122E">
      <w:pPr>
        <w:spacing w:line="240" w:lineRule="auto"/>
        <w:jc w:val="center"/>
        <w:outlineLvl w:val="0"/>
        <w:rPr>
          <w:rFonts w:ascii="Book Antiqua" w:hAnsi="Book Antiqua"/>
          <w:b/>
          <w:sz w:val="20"/>
          <w:szCs w:val="20"/>
        </w:rPr>
      </w:pPr>
    </w:p>
    <w:p w:rsidR="00AB5F3C" w:rsidRPr="00180A8B" w:rsidRDefault="00AB5F3C" w:rsidP="00ED122E">
      <w:pPr>
        <w:spacing w:line="240" w:lineRule="auto"/>
        <w:jc w:val="center"/>
        <w:outlineLvl w:val="0"/>
        <w:rPr>
          <w:rFonts w:ascii="Book Antiqua" w:hAnsi="Book Antiqua"/>
          <w:b/>
          <w:sz w:val="20"/>
          <w:szCs w:val="20"/>
        </w:rPr>
      </w:pPr>
    </w:p>
    <w:p w:rsidR="00CF398E" w:rsidRPr="00180A8B" w:rsidRDefault="005757D7" w:rsidP="00ED122E">
      <w:pPr>
        <w:spacing w:after="0" w:line="240" w:lineRule="auto"/>
        <w:jc w:val="center"/>
        <w:outlineLvl w:val="0"/>
        <w:rPr>
          <w:rFonts w:ascii="Book Antiqua" w:hAnsi="Book Antiqua"/>
          <w:b/>
          <w:sz w:val="24"/>
          <w:szCs w:val="24"/>
        </w:rPr>
      </w:pPr>
      <w:r w:rsidRPr="00180A8B">
        <w:rPr>
          <w:rFonts w:ascii="Book Antiqua" w:hAnsi="Book Antiqua"/>
          <w:b/>
          <w:sz w:val="24"/>
          <w:szCs w:val="24"/>
        </w:rPr>
        <w:t>Maj</w:t>
      </w:r>
      <w:r w:rsidR="00212965" w:rsidRPr="00180A8B">
        <w:rPr>
          <w:rFonts w:ascii="Book Antiqua" w:hAnsi="Book Antiqua"/>
          <w:b/>
          <w:sz w:val="24"/>
          <w:szCs w:val="24"/>
        </w:rPr>
        <w:t xml:space="preserve"> 202</w:t>
      </w:r>
      <w:r w:rsidR="003C5637" w:rsidRPr="00180A8B">
        <w:rPr>
          <w:rFonts w:ascii="Book Antiqua" w:hAnsi="Book Antiqua"/>
          <w:b/>
          <w:sz w:val="24"/>
          <w:szCs w:val="24"/>
        </w:rPr>
        <w:t>2</w:t>
      </w:r>
    </w:p>
    <w:p w:rsidR="00AB5F3C" w:rsidRPr="00180A8B" w:rsidRDefault="00AB5F3C" w:rsidP="00ED122E">
      <w:pPr>
        <w:spacing w:after="0" w:line="240" w:lineRule="auto"/>
        <w:jc w:val="center"/>
        <w:outlineLvl w:val="0"/>
        <w:rPr>
          <w:rFonts w:ascii="Book Antiqua" w:hAnsi="Book Antiqua"/>
          <w:b/>
          <w:sz w:val="24"/>
          <w:szCs w:val="24"/>
        </w:rPr>
      </w:pPr>
      <w:r w:rsidRPr="00180A8B">
        <w:rPr>
          <w:rFonts w:ascii="Book Antiqua" w:hAnsi="Book Antiqua"/>
          <w:b/>
          <w:sz w:val="24"/>
          <w:szCs w:val="24"/>
        </w:rPr>
        <w:t>Prishtinë</w:t>
      </w:r>
    </w:p>
    <w:p w:rsidR="00CF398E" w:rsidRPr="00180A8B" w:rsidRDefault="00AB5F3C" w:rsidP="00ED122E">
      <w:pPr>
        <w:spacing w:after="120" w:line="240" w:lineRule="auto"/>
        <w:jc w:val="center"/>
        <w:outlineLvl w:val="0"/>
        <w:rPr>
          <w:rFonts w:ascii="Book Antiqua" w:hAnsi="Book Antiqua"/>
          <w:b/>
          <w:sz w:val="20"/>
          <w:szCs w:val="20"/>
        </w:rPr>
      </w:pPr>
      <w:r w:rsidRPr="00180A8B">
        <w:rPr>
          <w:rFonts w:ascii="Book Antiqua" w:hAnsi="Book Antiqua"/>
          <w:b/>
          <w:sz w:val="20"/>
          <w:szCs w:val="20"/>
        </w:rPr>
        <w:br w:type="column"/>
      </w:r>
      <w:r w:rsidR="00CF398E" w:rsidRPr="00180A8B">
        <w:rPr>
          <w:rFonts w:ascii="Book Antiqua" w:hAnsi="Book Antiqua"/>
          <w:b/>
          <w:sz w:val="20"/>
          <w:szCs w:val="20"/>
        </w:rPr>
        <w:lastRenderedPageBreak/>
        <w:t>Hyrja/sfondi</w:t>
      </w:r>
    </w:p>
    <w:p w:rsidR="00BD790C" w:rsidRPr="00180A8B" w:rsidRDefault="00BD790C" w:rsidP="00ED122E">
      <w:pPr>
        <w:spacing w:after="120" w:line="240" w:lineRule="auto"/>
        <w:jc w:val="both"/>
        <w:rPr>
          <w:rFonts w:ascii="Book Antiqua" w:hAnsi="Book Antiqua"/>
          <w:sz w:val="20"/>
          <w:szCs w:val="20"/>
        </w:rPr>
      </w:pPr>
      <w:r w:rsidRPr="00180A8B">
        <w:rPr>
          <w:rFonts w:ascii="Book Antiqua" w:hAnsi="Book Antiqua"/>
          <w:sz w:val="20"/>
          <w:szCs w:val="20"/>
        </w:rPr>
        <w:t>Ky program përcakton reformat dhe prioritetet e institucioneve shtetërore për zbatimin e Marrëveshjes së Stabilizim-Asociimit ndërmjet Republikës së Kosovës dhe Bashkimit Evropian.</w:t>
      </w:r>
    </w:p>
    <w:p w:rsidR="00116699" w:rsidRPr="00180A8B" w:rsidRDefault="003C5637" w:rsidP="00ED122E">
      <w:pPr>
        <w:spacing w:after="120" w:line="240" w:lineRule="auto"/>
        <w:jc w:val="both"/>
        <w:rPr>
          <w:rFonts w:ascii="Book Antiqua" w:hAnsi="Book Antiqua"/>
          <w:sz w:val="20"/>
          <w:szCs w:val="20"/>
        </w:rPr>
      </w:pPr>
      <w:r w:rsidRPr="00180A8B">
        <w:rPr>
          <w:rFonts w:ascii="Book Antiqua" w:hAnsi="Book Antiqua"/>
          <w:sz w:val="20"/>
          <w:szCs w:val="20"/>
        </w:rPr>
        <w:t>Zyrat</w:t>
      </w:r>
      <w:r w:rsidR="00212965" w:rsidRPr="00180A8B">
        <w:rPr>
          <w:rFonts w:ascii="Book Antiqua" w:hAnsi="Book Antiqua"/>
          <w:sz w:val="20"/>
          <w:szCs w:val="20"/>
        </w:rPr>
        <w:t xml:space="preserve"> për Integrim Evropian në Zyrën e Kryeministrit (ZKM/</w:t>
      </w:r>
      <w:r w:rsidRPr="00180A8B">
        <w:rPr>
          <w:rFonts w:ascii="Book Antiqua" w:hAnsi="Book Antiqua"/>
          <w:sz w:val="20"/>
          <w:szCs w:val="20"/>
        </w:rPr>
        <w:t>Z</w:t>
      </w:r>
      <w:r w:rsidR="00212965" w:rsidRPr="00180A8B">
        <w:rPr>
          <w:rFonts w:ascii="Book Antiqua" w:hAnsi="Book Antiqua"/>
          <w:sz w:val="20"/>
          <w:szCs w:val="20"/>
        </w:rPr>
        <w:t>IE)</w:t>
      </w:r>
      <w:r w:rsidR="00CF398E" w:rsidRPr="00180A8B">
        <w:rPr>
          <w:rFonts w:ascii="Book Antiqua" w:hAnsi="Book Antiqua"/>
          <w:sz w:val="20"/>
          <w:szCs w:val="20"/>
        </w:rPr>
        <w:t xml:space="preserve">, në bashkëpunim me </w:t>
      </w:r>
      <w:r w:rsidR="00116699" w:rsidRPr="00180A8B">
        <w:rPr>
          <w:rFonts w:ascii="Book Antiqua" w:hAnsi="Book Antiqua"/>
          <w:sz w:val="20"/>
          <w:szCs w:val="20"/>
        </w:rPr>
        <w:t>institucionet e tjera relevante kan</w:t>
      </w:r>
      <w:r w:rsidR="00E16070" w:rsidRPr="00180A8B">
        <w:rPr>
          <w:rFonts w:ascii="Book Antiqua" w:hAnsi="Book Antiqua"/>
          <w:sz w:val="20"/>
          <w:szCs w:val="20"/>
        </w:rPr>
        <w:t>ë</w:t>
      </w:r>
      <w:r w:rsidR="00116699" w:rsidRPr="00180A8B">
        <w:rPr>
          <w:rFonts w:ascii="Book Antiqua" w:hAnsi="Book Antiqua"/>
          <w:sz w:val="20"/>
          <w:szCs w:val="20"/>
        </w:rPr>
        <w:t xml:space="preserve"> </w:t>
      </w:r>
      <w:r w:rsidR="00BD790C" w:rsidRPr="00180A8B">
        <w:rPr>
          <w:rFonts w:ascii="Book Antiqua" w:hAnsi="Book Antiqua"/>
          <w:sz w:val="20"/>
          <w:szCs w:val="20"/>
        </w:rPr>
        <w:t xml:space="preserve">hartuar </w:t>
      </w:r>
      <w:r w:rsidR="00CF398E" w:rsidRPr="00180A8B">
        <w:rPr>
          <w:rFonts w:ascii="Book Antiqua" w:hAnsi="Book Antiqua"/>
          <w:sz w:val="20"/>
          <w:szCs w:val="20"/>
        </w:rPr>
        <w:t xml:space="preserve">Programin Kombëtar për Zbatimin e Marrëveshjes së Stabilizim Asociimit (PKZMSA) </w:t>
      </w:r>
      <w:r w:rsidR="00116699" w:rsidRPr="00180A8B">
        <w:rPr>
          <w:rFonts w:ascii="Book Antiqua" w:hAnsi="Book Antiqua"/>
          <w:sz w:val="20"/>
          <w:szCs w:val="20"/>
        </w:rPr>
        <w:t>202</w:t>
      </w:r>
      <w:r w:rsidRPr="00180A8B">
        <w:rPr>
          <w:rFonts w:ascii="Book Antiqua" w:hAnsi="Book Antiqua"/>
          <w:sz w:val="20"/>
          <w:szCs w:val="20"/>
        </w:rPr>
        <w:t>2</w:t>
      </w:r>
      <w:r w:rsidR="00116699" w:rsidRPr="00180A8B">
        <w:rPr>
          <w:rFonts w:ascii="Book Antiqua" w:hAnsi="Book Antiqua"/>
          <w:sz w:val="20"/>
          <w:szCs w:val="20"/>
        </w:rPr>
        <w:t>-</w:t>
      </w:r>
      <w:r w:rsidR="00212965" w:rsidRPr="00180A8B">
        <w:rPr>
          <w:rFonts w:ascii="Book Antiqua" w:hAnsi="Book Antiqua"/>
          <w:sz w:val="20"/>
          <w:szCs w:val="20"/>
        </w:rPr>
        <w:t>202</w:t>
      </w:r>
      <w:r w:rsidRPr="00180A8B">
        <w:rPr>
          <w:rFonts w:ascii="Book Antiqua" w:hAnsi="Book Antiqua"/>
          <w:sz w:val="20"/>
          <w:szCs w:val="20"/>
        </w:rPr>
        <w:t>5</w:t>
      </w:r>
      <w:r w:rsidR="00212965" w:rsidRPr="00180A8B">
        <w:rPr>
          <w:rFonts w:ascii="Book Antiqua" w:hAnsi="Book Antiqua"/>
          <w:sz w:val="20"/>
          <w:szCs w:val="20"/>
        </w:rPr>
        <w:t xml:space="preserve"> në fund të vitit 202</w:t>
      </w:r>
      <w:r w:rsidRPr="00180A8B">
        <w:rPr>
          <w:rFonts w:ascii="Book Antiqua" w:hAnsi="Book Antiqua"/>
          <w:sz w:val="20"/>
          <w:szCs w:val="20"/>
        </w:rPr>
        <w:t>1</w:t>
      </w:r>
      <w:r w:rsidR="00212965" w:rsidRPr="00180A8B">
        <w:rPr>
          <w:rFonts w:ascii="Book Antiqua" w:hAnsi="Book Antiqua"/>
          <w:sz w:val="20"/>
          <w:szCs w:val="20"/>
        </w:rPr>
        <w:t xml:space="preserve"> dhe fillim të vitit 202</w:t>
      </w:r>
      <w:r w:rsidRPr="00180A8B">
        <w:rPr>
          <w:rFonts w:ascii="Book Antiqua" w:hAnsi="Book Antiqua"/>
          <w:sz w:val="20"/>
          <w:szCs w:val="20"/>
        </w:rPr>
        <w:t>2</w:t>
      </w:r>
      <w:r w:rsidR="00116699" w:rsidRPr="00180A8B">
        <w:rPr>
          <w:rFonts w:ascii="Book Antiqua" w:hAnsi="Book Antiqua"/>
          <w:sz w:val="20"/>
          <w:szCs w:val="20"/>
        </w:rPr>
        <w:t>.</w:t>
      </w:r>
    </w:p>
    <w:p w:rsidR="00CF398E" w:rsidRPr="00180A8B" w:rsidRDefault="00116699" w:rsidP="00ED122E">
      <w:pPr>
        <w:spacing w:after="120" w:line="240" w:lineRule="auto"/>
        <w:jc w:val="both"/>
        <w:rPr>
          <w:rFonts w:ascii="Book Antiqua" w:eastAsiaTheme="minorEastAsia" w:hAnsi="Book Antiqua"/>
          <w:sz w:val="20"/>
          <w:szCs w:val="20"/>
        </w:rPr>
      </w:pPr>
      <w:r w:rsidRPr="00180A8B">
        <w:rPr>
          <w:rFonts w:ascii="Book Antiqua" w:hAnsi="Book Antiqua"/>
          <w:sz w:val="20"/>
          <w:szCs w:val="20"/>
        </w:rPr>
        <w:t>Pas finalizimit t</w:t>
      </w:r>
      <w:r w:rsidR="00E16070" w:rsidRPr="00180A8B">
        <w:rPr>
          <w:rFonts w:ascii="Book Antiqua" w:hAnsi="Book Antiqua"/>
          <w:sz w:val="20"/>
          <w:szCs w:val="20"/>
        </w:rPr>
        <w:t>ë</w:t>
      </w:r>
      <w:r w:rsidRPr="00180A8B">
        <w:rPr>
          <w:rFonts w:ascii="Book Antiqua" w:hAnsi="Book Antiqua"/>
          <w:sz w:val="20"/>
          <w:szCs w:val="20"/>
        </w:rPr>
        <w:t xml:space="preserve"> draftit </w:t>
      </w:r>
      <w:r w:rsidR="00CF398E" w:rsidRPr="00180A8B">
        <w:rPr>
          <w:rFonts w:ascii="Book Antiqua" w:hAnsi="Book Antiqua"/>
          <w:sz w:val="20"/>
          <w:szCs w:val="20"/>
        </w:rPr>
        <w:t>të PKZMSA</w:t>
      </w:r>
      <w:r w:rsidRPr="00180A8B">
        <w:rPr>
          <w:rFonts w:ascii="Book Antiqua" w:hAnsi="Book Antiqua"/>
          <w:sz w:val="20"/>
          <w:szCs w:val="20"/>
        </w:rPr>
        <w:t xml:space="preserve"> 202</w:t>
      </w:r>
      <w:r w:rsidR="003C5637" w:rsidRPr="00180A8B">
        <w:rPr>
          <w:rFonts w:ascii="Book Antiqua" w:hAnsi="Book Antiqua"/>
          <w:sz w:val="20"/>
          <w:szCs w:val="20"/>
        </w:rPr>
        <w:t>2</w:t>
      </w:r>
      <w:r w:rsidRPr="00180A8B">
        <w:rPr>
          <w:rFonts w:ascii="Book Antiqua" w:hAnsi="Book Antiqua"/>
          <w:sz w:val="20"/>
          <w:szCs w:val="20"/>
        </w:rPr>
        <w:t>-202</w:t>
      </w:r>
      <w:r w:rsidR="003C5637" w:rsidRPr="00180A8B">
        <w:rPr>
          <w:rFonts w:ascii="Book Antiqua" w:hAnsi="Book Antiqua"/>
          <w:sz w:val="20"/>
          <w:szCs w:val="20"/>
        </w:rPr>
        <w:t>6</w:t>
      </w:r>
      <w:r w:rsidRPr="00180A8B">
        <w:rPr>
          <w:rFonts w:ascii="Book Antiqua" w:hAnsi="Book Antiqua"/>
          <w:sz w:val="20"/>
          <w:szCs w:val="20"/>
        </w:rPr>
        <w:t xml:space="preserve"> jan</w:t>
      </w:r>
      <w:r w:rsidR="00E16070" w:rsidRPr="00180A8B">
        <w:rPr>
          <w:rFonts w:ascii="Book Antiqua" w:hAnsi="Book Antiqua"/>
          <w:sz w:val="20"/>
          <w:szCs w:val="20"/>
        </w:rPr>
        <w:t>ë</w:t>
      </w:r>
      <w:r w:rsidRPr="00180A8B">
        <w:rPr>
          <w:rFonts w:ascii="Book Antiqua" w:hAnsi="Book Antiqua"/>
          <w:sz w:val="20"/>
          <w:szCs w:val="20"/>
        </w:rPr>
        <w:t xml:space="preserve"> zhvilluar </w:t>
      </w:r>
      <w:r w:rsidR="00CF398E" w:rsidRPr="00180A8B">
        <w:rPr>
          <w:rFonts w:ascii="Book Antiqua" w:hAnsi="Book Antiqua"/>
          <w:sz w:val="20"/>
          <w:szCs w:val="20"/>
        </w:rPr>
        <w:t>konsultim</w:t>
      </w:r>
      <w:r w:rsidRPr="00180A8B">
        <w:rPr>
          <w:rFonts w:ascii="Book Antiqua" w:hAnsi="Book Antiqua"/>
          <w:sz w:val="20"/>
          <w:szCs w:val="20"/>
        </w:rPr>
        <w:t xml:space="preserve">et publike, </w:t>
      </w:r>
      <w:r w:rsidR="00CF398E" w:rsidRPr="00180A8B">
        <w:rPr>
          <w:rFonts w:ascii="Book Antiqua" w:hAnsi="Book Antiqua"/>
          <w:sz w:val="20"/>
          <w:szCs w:val="20"/>
        </w:rPr>
        <w:t xml:space="preserve">përmes </w:t>
      </w:r>
      <w:r w:rsidR="00CF398E" w:rsidRPr="00180A8B">
        <w:rPr>
          <w:rFonts w:ascii="Book Antiqua" w:hAnsi="Book Antiqua"/>
          <w:i/>
          <w:sz w:val="20"/>
          <w:szCs w:val="20"/>
        </w:rPr>
        <w:t>Platformës së konsultimeve publike</w:t>
      </w:r>
      <w:r w:rsidR="00CF398E" w:rsidRPr="00180A8B">
        <w:rPr>
          <w:rFonts w:ascii="Book Antiqua" w:hAnsi="Book Antiqua"/>
          <w:sz w:val="20"/>
          <w:szCs w:val="20"/>
        </w:rPr>
        <w:t>, ku mundësinë për të dhënë komente e kanë pasur të gjithë qytetarët e Republikës së Kosovës dhe ekspertë të ndryshëm.</w:t>
      </w:r>
      <w:r w:rsidRPr="00180A8B">
        <w:rPr>
          <w:rFonts w:ascii="Book Antiqua" w:hAnsi="Book Antiqua"/>
          <w:sz w:val="20"/>
          <w:szCs w:val="20"/>
        </w:rPr>
        <w:t xml:space="preserve"> Procesi i konsultimit </w:t>
      </w:r>
      <w:r w:rsidR="00E16070" w:rsidRPr="00180A8B">
        <w:rPr>
          <w:rFonts w:ascii="Book Antiqua" w:hAnsi="Book Antiqua"/>
          <w:sz w:val="20"/>
          <w:szCs w:val="20"/>
        </w:rPr>
        <w:t>ë</w:t>
      </w:r>
      <w:r w:rsidRPr="00180A8B">
        <w:rPr>
          <w:rFonts w:ascii="Book Antiqua" w:hAnsi="Book Antiqua"/>
          <w:sz w:val="20"/>
          <w:szCs w:val="20"/>
        </w:rPr>
        <w:t>sht</w:t>
      </w:r>
      <w:r w:rsidR="00E16070" w:rsidRPr="00180A8B">
        <w:rPr>
          <w:rFonts w:ascii="Book Antiqua" w:hAnsi="Book Antiqua"/>
          <w:sz w:val="20"/>
          <w:szCs w:val="20"/>
        </w:rPr>
        <w:t>ë</w:t>
      </w:r>
      <w:r w:rsidRPr="00180A8B">
        <w:rPr>
          <w:rFonts w:ascii="Book Antiqua" w:hAnsi="Book Antiqua"/>
          <w:sz w:val="20"/>
          <w:szCs w:val="20"/>
        </w:rPr>
        <w:t xml:space="preserve"> zhvilluar n</w:t>
      </w:r>
      <w:r w:rsidR="00E16070" w:rsidRPr="00180A8B">
        <w:rPr>
          <w:rFonts w:ascii="Book Antiqua" w:hAnsi="Book Antiqua"/>
          <w:sz w:val="20"/>
          <w:szCs w:val="20"/>
        </w:rPr>
        <w:t>ë</w:t>
      </w:r>
      <w:r w:rsidR="00CF398E" w:rsidRPr="00180A8B">
        <w:rPr>
          <w:rFonts w:ascii="Book Antiqua" w:hAnsi="Book Antiqua"/>
          <w:sz w:val="20"/>
          <w:szCs w:val="20"/>
        </w:rPr>
        <w:t xml:space="preserve"> pajtim të plotë me </w:t>
      </w:r>
      <w:r w:rsidR="00CF398E" w:rsidRPr="00180A8B">
        <w:rPr>
          <w:rFonts w:ascii="Book Antiqua" w:eastAsiaTheme="minorEastAsia" w:hAnsi="Book Antiqua"/>
          <w:sz w:val="20"/>
          <w:szCs w:val="20"/>
        </w:rPr>
        <w:t xml:space="preserve">Rregulloren nr. 05/2016 për Standardet Minimale për Procesin e Konsultimit Publik. </w:t>
      </w:r>
    </w:p>
    <w:p w:rsidR="00CF398E" w:rsidRPr="00180A8B" w:rsidRDefault="00CF398E" w:rsidP="00ED122E">
      <w:pPr>
        <w:spacing w:after="120" w:line="240" w:lineRule="auto"/>
        <w:jc w:val="center"/>
        <w:outlineLvl w:val="0"/>
        <w:rPr>
          <w:rFonts w:ascii="Book Antiqua" w:hAnsi="Book Antiqua"/>
          <w:b/>
          <w:sz w:val="20"/>
          <w:szCs w:val="20"/>
        </w:rPr>
      </w:pPr>
      <w:r w:rsidRPr="00180A8B">
        <w:rPr>
          <w:rFonts w:ascii="Book Antiqua" w:hAnsi="Book Antiqua"/>
          <w:b/>
          <w:sz w:val="20"/>
          <w:szCs w:val="20"/>
        </w:rPr>
        <w:t>Ecuria procesit të konsultimit</w:t>
      </w:r>
    </w:p>
    <w:p w:rsidR="00CF398E" w:rsidRPr="00180A8B" w:rsidRDefault="00CF398E" w:rsidP="00ED122E">
      <w:pPr>
        <w:spacing w:after="120" w:line="240" w:lineRule="auto"/>
        <w:jc w:val="both"/>
        <w:rPr>
          <w:rFonts w:ascii="Book Antiqua" w:hAnsi="Book Antiqua"/>
          <w:sz w:val="20"/>
          <w:szCs w:val="20"/>
        </w:rPr>
      </w:pPr>
      <w:r w:rsidRPr="00180A8B">
        <w:rPr>
          <w:rFonts w:ascii="Book Antiqua" w:hAnsi="Book Antiqua"/>
          <w:sz w:val="20"/>
          <w:szCs w:val="20"/>
        </w:rPr>
        <w:t>Programi Kombëtar për Zbatimin e Marrëveshjes së St</w:t>
      </w:r>
      <w:r w:rsidR="00212965" w:rsidRPr="00180A8B">
        <w:rPr>
          <w:rFonts w:ascii="Book Antiqua" w:hAnsi="Book Antiqua"/>
          <w:sz w:val="20"/>
          <w:szCs w:val="20"/>
        </w:rPr>
        <w:t>abilizim Asociimit (PKZMSA</w:t>
      </w:r>
      <w:r w:rsidR="00116699" w:rsidRPr="00180A8B">
        <w:rPr>
          <w:rFonts w:ascii="Book Antiqua" w:hAnsi="Book Antiqua"/>
          <w:sz w:val="20"/>
          <w:szCs w:val="20"/>
        </w:rPr>
        <w:t>)</w:t>
      </w:r>
      <w:r w:rsidR="00212965" w:rsidRPr="00180A8B">
        <w:rPr>
          <w:rFonts w:ascii="Book Antiqua" w:hAnsi="Book Antiqua"/>
          <w:sz w:val="20"/>
          <w:szCs w:val="20"/>
        </w:rPr>
        <w:t xml:space="preserve"> 202</w:t>
      </w:r>
      <w:r w:rsidR="003C5637" w:rsidRPr="00180A8B">
        <w:rPr>
          <w:rFonts w:ascii="Book Antiqua" w:hAnsi="Book Antiqua"/>
          <w:sz w:val="20"/>
          <w:szCs w:val="20"/>
        </w:rPr>
        <w:t>2</w:t>
      </w:r>
      <w:r w:rsidR="00116699" w:rsidRPr="00180A8B">
        <w:rPr>
          <w:rFonts w:ascii="Book Antiqua" w:hAnsi="Book Antiqua"/>
          <w:sz w:val="20"/>
          <w:szCs w:val="20"/>
        </w:rPr>
        <w:t>-</w:t>
      </w:r>
      <w:r w:rsidR="00212965" w:rsidRPr="00180A8B">
        <w:rPr>
          <w:rFonts w:ascii="Book Antiqua" w:hAnsi="Book Antiqua"/>
          <w:sz w:val="20"/>
          <w:szCs w:val="20"/>
        </w:rPr>
        <w:t>202</w:t>
      </w:r>
      <w:r w:rsidR="003C5637" w:rsidRPr="00180A8B">
        <w:rPr>
          <w:rFonts w:ascii="Book Antiqua" w:hAnsi="Book Antiqua"/>
          <w:sz w:val="20"/>
          <w:szCs w:val="20"/>
        </w:rPr>
        <w:t>6</w:t>
      </w:r>
      <w:r w:rsidRPr="00180A8B">
        <w:rPr>
          <w:rFonts w:ascii="Book Antiqua" w:hAnsi="Book Antiqua"/>
          <w:sz w:val="20"/>
          <w:szCs w:val="20"/>
        </w:rPr>
        <w:t xml:space="preserve"> është publikuar për konsultim me publikun në platformën elekt</w:t>
      </w:r>
      <w:r w:rsidR="00212965" w:rsidRPr="00180A8B">
        <w:rPr>
          <w:rFonts w:ascii="Book Antiqua" w:hAnsi="Book Antiqua"/>
          <w:sz w:val="20"/>
          <w:szCs w:val="20"/>
        </w:rPr>
        <w:t xml:space="preserve">ronike për konsultimet më </w:t>
      </w:r>
      <w:r w:rsidR="003C5637" w:rsidRPr="00180A8B">
        <w:rPr>
          <w:rFonts w:ascii="Book Antiqua" w:hAnsi="Book Antiqua"/>
          <w:sz w:val="20"/>
          <w:szCs w:val="20"/>
        </w:rPr>
        <w:t>14 janar 2022</w:t>
      </w:r>
      <w:r w:rsidR="00116699" w:rsidRPr="00180A8B">
        <w:rPr>
          <w:rFonts w:ascii="Book Antiqua" w:hAnsi="Book Antiqua"/>
          <w:sz w:val="20"/>
          <w:szCs w:val="20"/>
        </w:rPr>
        <w:t>, dhe konsultimet kan</w:t>
      </w:r>
      <w:r w:rsidR="00E16070" w:rsidRPr="00180A8B">
        <w:rPr>
          <w:rFonts w:ascii="Book Antiqua" w:hAnsi="Book Antiqua"/>
          <w:sz w:val="20"/>
          <w:szCs w:val="20"/>
        </w:rPr>
        <w:t>ë</w:t>
      </w:r>
      <w:r w:rsidR="00116699" w:rsidRPr="00180A8B">
        <w:rPr>
          <w:rFonts w:ascii="Book Antiqua" w:hAnsi="Book Antiqua"/>
          <w:sz w:val="20"/>
          <w:szCs w:val="20"/>
        </w:rPr>
        <w:t xml:space="preserve"> qen</w:t>
      </w:r>
      <w:r w:rsidR="00E16070" w:rsidRPr="00180A8B">
        <w:rPr>
          <w:rFonts w:ascii="Book Antiqua" w:hAnsi="Book Antiqua"/>
          <w:sz w:val="20"/>
          <w:szCs w:val="20"/>
        </w:rPr>
        <w:t>ë</w:t>
      </w:r>
      <w:r w:rsidR="00116699" w:rsidRPr="00180A8B">
        <w:rPr>
          <w:rFonts w:ascii="Book Antiqua" w:hAnsi="Book Antiqua"/>
          <w:sz w:val="20"/>
          <w:szCs w:val="20"/>
        </w:rPr>
        <w:t xml:space="preserve"> t</w:t>
      </w:r>
      <w:r w:rsidR="00E16070" w:rsidRPr="00180A8B">
        <w:rPr>
          <w:rFonts w:ascii="Book Antiqua" w:hAnsi="Book Antiqua"/>
          <w:sz w:val="20"/>
          <w:szCs w:val="20"/>
        </w:rPr>
        <w:t>ë</w:t>
      </w:r>
      <w:r w:rsidR="00116699" w:rsidRPr="00180A8B">
        <w:rPr>
          <w:rFonts w:ascii="Book Antiqua" w:hAnsi="Book Antiqua"/>
          <w:sz w:val="20"/>
          <w:szCs w:val="20"/>
        </w:rPr>
        <w:t xml:space="preserve"> hapura p</w:t>
      </w:r>
      <w:r w:rsidR="00212965" w:rsidRPr="00180A8B">
        <w:rPr>
          <w:rFonts w:ascii="Book Antiqua" w:hAnsi="Book Antiqua"/>
          <w:sz w:val="20"/>
          <w:szCs w:val="20"/>
        </w:rPr>
        <w:t xml:space="preserve">ër komente deri me </w:t>
      </w:r>
      <w:r w:rsidR="003C5637" w:rsidRPr="00180A8B">
        <w:rPr>
          <w:rFonts w:ascii="Book Antiqua" w:hAnsi="Book Antiqua"/>
          <w:sz w:val="20"/>
          <w:szCs w:val="20"/>
        </w:rPr>
        <w:t>04</w:t>
      </w:r>
      <w:r w:rsidRPr="00180A8B">
        <w:rPr>
          <w:rFonts w:ascii="Book Antiqua" w:hAnsi="Book Antiqua"/>
          <w:sz w:val="20"/>
          <w:szCs w:val="20"/>
        </w:rPr>
        <w:t xml:space="preserve"> </w:t>
      </w:r>
      <w:r w:rsidR="003C5637" w:rsidRPr="00180A8B">
        <w:rPr>
          <w:rFonts w:ascii="Book Antiqua" w:hAnsi="Book Antiqua"/>
          <w:sz w:val="20"/>
          <w:szCs w:val="20"/>
        </w:rPr>
        <w:t>shkurt 2022</w:t>
      </w:r>
      <w:r w:rsidRPr="00180A8B">
        <w:rPr>
          <w:rFonts w:ascii="Book Antiqua" w:hAnsi="Book Antiqua"/>
          <w:sz w:val="20"/>
          <w:szCs w:val="20"/>
        </w:rPr>
        <w:t>. Sipas Rregullores për standardet minimale të konsultimit publik</w:t>
      </w:r>
      <w:r w:rsidR="00116699" w:rsidRPr="00180A8B">
        <w:rPr>
          <w:rFonts w:ascii="Book Antiqua" w:hAnsi="Book Antiqua"/>
          <w:sz w:val="20"/>
          <w:szCs w:val="20"/>
        </w:rPr>
        <w:t>, d</w:t>
      </w:r>
      <w:r w:rsidRPr="00180A8B">
        <w:rPr>
          <w:rFonts w:ascii="Book Antiqua" w:hAnsi="Book Antiqua"/>
          <w:sz w:val="20"/>
          <w:szCs w:val="20"/>
        </w:rPr>
        <w:t>okumenti është publikuar në platformë, duke u mundësuar të gjithë të interesuarve të kontribuojnë me komente në kuadër të fushëveprim</w:t>
      </w:r>
      <w:r w:rsidR="00116699" w:rsidRPr="00180A8B">
        <w:rPr>
          <w:rFonts w:ascii="Book Antiqua" w:hAnsi="Book Antiqua"/>
          <w:sz w:val="20"/>
          <w:szCs w:val="20"/>
        </w:rPr>
        <w:t>it t</w:t>
      </w:r>
      <w:r w:rsidRPr="00180A8B">
        <w:rPr>
          <w:rFonts w:ascii="Book Antiqua" w:hAnsi="Book Antiqua"/>
          <w:sz w:val="20"/>
          <w:szCs w:val="20"/>
        </w:rPr>
        <w:t>ë Programit.</w:t>
      </w:r>
    </w:p>
    <w:p w:rsidR="000B4EBC" w:rsidRPr="00180A8B" w:rsidRDefault="00CF398E" w:rsidP="00ED122E">
      <w:pPr>
        <w:spacing w:after="120" w:line="240" w:lineRule="auto"/>
        <w:jc w:val="both"/>
        <w:rPr>
          <w:rFonts w:ascii="Book Antiqua" w:hAnsi="Book Antiqua"/>
          <w:sz w:val="20"/>
          <w:szCs w:val="20"/>
        </w:rPr>
      </w:pPr>
      <w:r w:rsidRPr="00180A8B">
        <w:rPr>
          <w:rFonts w:ascii="Book Antiqua" w:hAnsi="Book Antiqua"/>
          <w:sz w:val="20"/>
          <w:szCs w:val="20"/>
        </w:rPr>
        <w:t xml:space="preserve">Para publikimit të dokumentit për konsultim, </w:t>
      </w:r>
      <w:r w:rsidR="00116699" w:rsidRPr="00180A8B">
        <w:rPr>
          <w:rFonts w:ascii="Book Antiqua" w:hAnsi="Book Antiqua"/>
          <w:sz w:val="20"/>
          <w:szCs w:val="20"/>
        </w:rPr>
        <w:t>ZKM/</w:t>
      </w:r>
      <w:r w:rsidR="003C5637" w:rsidRPr="00180A8B">
        <w:rPr>
          <w:rFonts w:ascii="Book Antiqua" w:hAnsi="Book Antiqua"/>
          <w:sz w:val="20"/>
          <w:szCs w:val="20"/>
        </w:rPr>
        <w:t>Z</w:t>
      </w:r>
      <w:r w:rsidR="00116699" w:rsidRPr="00180A8B">
        <w:rPr>
          <w:rFonts w:ascii="Book Antiqua" w:hAnsi="Book Antiqua"/>
          <w:sz w:val="20"/>
          <w:szCs w:val="20"/>
        </w:rPr>
        <w:t xml:space="preserve">IE </w:t>
      </w:r>
      <w:r w:rsidR="00A017CE" w:rsidRPr="00180A8B">
        <w:rPr>
          <w:rFonts w:ascii="Book Antiqua" w:hAnsi="Book Antiqua"/>
          <w:sz w:val="20"/>
          <w:szCs w:val="20"/>
        </w:rPr>
        <w:t>kanë punuar n</w:t>
      </w:r>
      <w:r w:rsidR="00E16070" w:rsidRPr="00180A8B">
        <w:rPr>
          <w:rFonts w:ascii="Book Antiqua" w:hAnsi="Book Antiqua"/>
          <w:sz w:val="20"/>
          <w:szCs w:val="20"/>
        </w:rPr>
        <w:t>ë</w:t>
      </w:r>
      <w:r w:rsidR="00A017CE" w:rsidRPr="00180A8B">
        <w:rPr>
          <w:rFonts w:ascii="Book Antiqua" w:hAnsi="Book Antiqua"/>
          <w:sz w:val="20"/>
          <w:szCs w:val="20"/>
        </w:rPr>
        <w:t xml:space="preserve"> hartimin e dokumentit s</w:t>
      </w:r>
      <w:r w:rsidR="00E16070" w:rsidRPr="00180A8B">
        <w:rPr>
          <w:rFonts w:ascii="Book Antiqua" w:hAnsi="Book Antiqua"/>
          <w:sz w:val="20"/>
          <w:szCs w:val="20"/>
        </w:rPr>
        <w:t>ë</w:t>
      </w:r>
      <w:r w:rsidR="00A017CE" w:rsidRPr="00180A8B">
        <w:rPr>
          <w:rFonts w:ascii="Book Antiqua" w:hAnsi="Book Antiqua"/>
          <w:sz w:val="20"/>
          <w:szCs w:val="20"/>
        </w:rPr>
        <w:t xml:space="preserve"> bashku me institucionet e linj</w:t>
      </w:r>
      <w:r w:rsidR="00E16070" w:rsidRPr="00180A8B">
        <w:rPr>
          <w:rFonts w:ascii="Book Antiqua" w:hAnsi="Book Antiqua"/>
          <w:sz w:val="20"/>
          <w:szCs w:val="20"/>
        </w:rPr>
        <w:t>ë</w:t>
      </w:r>
      <w:r w:rsidR="00A017CE" w:rsidRPr="00180A8B">
        <w:rPr>
          <w:rFonts w:ascii="Book Antiqua" w:hAnsi="Book Antiqua"/>
          <w:sz w:val="20"/>
          <w:szCs w:val="20"/>
        </w:rPr>
        <w:t>s, gjatë periudhës</w:t>
      </w:r>
      <w:r w:rsidR="003C5637" w:rsidRPr="00180A8B">
        <w:rPr>
          <w:rFonts w:ascii="Book Antiqua" w:hAnsi="Book Antiqua"/>
          <w:sz w:val="20"/>
          <w:szCs w:val="20"/>
        </w:rPr>
        <w:t xml:space="preserve"> nëntor 2021 – janar 2022</w:t>
      </w:r>
      <w:r w:rsidRPr="00180A8B">
        <w:rPr>
          <w:rFonts w:ascii="Book Antiqua" w:hAnsi="Book Antiqua"/>
          <w:sz w:val="20"/>
          <w:szCs w:val="20"/>
        </w:rPr>
        <w:t xml:space="preserve">. Në takime janë përfshirë disa kategori të palëve të interesit: nëpunës civil të ministrive, të institucioneve të pavarura. </w:t>
      </w:r>
      <w:r w:rsidR="003C5637" w:rsidRPr="00180A8B">
        <w:rPr>
          <w:rFonts w:ascii="Book Antiqua" w:hAnsi="Book Antiqua"/>
          <w:sz w:val="20"/>
          <w:szCs w:val="20"/>
        </w:rPr>
        <w:t>ZKM/Z</w:t>
      </w:r>
      <w:r w:rsidR="00A017CE" w:rsidRPr="00180A8B">
        <w:rPr>
          <w:rFonts w:ascii="Book Antiqua" w:hAnsi="Book Antiqua"/>
          <w:sz w:val="20"/>
          <w:szCs w:val="20"/>
        </w:rPr>
        <w:t xml:space="preserve">IE </w:t>
      </w:r>
      <w:r w:rsidRPr="00180A8B">
        <w:rPr>
          <w:rFonts w:ascii="Book Antiqua" w:hAnsi="Book Antiqua"/>
          <w:sz w:val="20"/>
          <w:szCs w:val="20"/>
        </w:rPr>
        <w:t>gjithashtu</w:t>
      </w:r>
      <w:r w:rsidR="00A017CE" w:rsidRPr="00180A8B">
        <w:rPr>
          <w:rFonts w:ascii="Book Antiqua" w:hAnsi="Book Antiqua"/>
          <w:sz w:val="20"/>
          <w:szCs w:val="20"/>
        </w:rPr>
        <w:t xml:space="preserve"> i</w:t>
      </w:r>
      <w:r w:rsidRPr="00180A8B">
        <w:rPr>
          <w:rFonts w:ascii="Book Antiqua" w:hAnsi="Book Antiqua"/>
          <w:sz w:val="20"/>
          <w:szCs w:val="20"/>
        </w:rPr>
        <w:t xml:space="preserve"> ka</w:t>
      </w:r>
      <w:r w:rsidR="00A017CE" w:rsidRPr="00180A8B">
        <w:rPr>
          <w:rFonts w:ascii="Book Antiqua" w:hAnsi="Book Antiqua"/>
          <w:sz w:val="20"/>
          <w:szCs w:val="20"/>
        </w:rPr>
        <w:t>n</w:t>
      </w:r>
      <w:r w:rsidR="00E16070" w:rsidRPr="00180A8B">
        <w:rPr>
          <w:rFonts w:ascii="Book Antiqua" w:hAnsi="Book Antiqua"/>
          <w:sz w:val="20"/>
          <w:szCs w:val="20"/>
        </w:rPr>
        <w:t>ë</w:t>
      </w:r>
      <w:r w:rsidRPr="00180A8B">
        <w:rPr>
          <w:rFonts w:ascii="Book Antiqua" w:hAnsi="Book Antiqua"/>
          <w:sz w:val="20"/>
          <w:szCs w:val="20"/>
        </w:rPr>
        <w:t xml:space="preserve"> njoftuar Organizatat e Shoqërisë Civile për këtë proces.</w:t>
      </w:r>
    </w:p>
    <w:tbl>
      <w:tblPr>
        <w:tblStyle w:val="GridTable1Light-Accent51"/>
        <w:tblW w:w="0" w:type="auto"/>
        <w:tblLook w:val="04A0" w:firstRow="1" w:lastRow="0" w:firstColumn="1" w:lastColumn="0" w:noHBand="0" w:noVBand="1"/>
      </w:tblPr>
      <w:tblGrid>
        <w:gridCol w:w="4669"/>
        <w:gridCol w:w="2238"/>
        <w:gridCol w:w="2443"/>
      </w:tblGrid>
      <w:tr w:rsidR="00CF398E" w:rsidRPr="00180A8B" w:rsidTr="003C56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9" w:type="dxa"/>
            <w:shd w:val="clear" w:color="auto" w:fill="FBE4D5" w:themeFill="accent2" w:themeFillTint="33"/>
            <w:vAlign w:val="center"/>
          </w:tcPr>
          <w:p w:rsidR="00CF398E" w:rsidRPr="00180A8B" w:rsidRDefault="00CF398E" w:rsidP="00ED122E">
            <w:pPr>
              <w:pStyle w:val="Default"/>
              <w:jc w:val="center"/>
              <w:rPr>
                <w:rFonts w:ascii="Book Antiqua" w:hAnsi="Book Antiqua"/>
                <w:color w:val="auto"/>
                <w:sz w:val="20"/>
                <w:szCs w:val="20"/>
                <w:lang w:val="sq-AL"/>
              </w:rPr>
            </w:pPr>
            <w:r w:rsidRPr="00180A8B">
              <w:rPr>
                <w:rFonts w:ascii="Book Antiqua" w:hAnsi="Book Antiqua"/>
                <w:color w:val="auto"/>
                <w:sz w:val="20"/>
                <w:szCs w:val="20"/>
                <w:lang w:val="sq-AL"/>
              </w:rPr>
              <w:t>Metodat e konsultimit</w:t>
            </w:r>
          </w:p>
        </w:tc>
        <w:tc>
          <w:tcPr>
            <w:tcW w:w="2238" w:type="dxa"/>
            <w:shd w:val="clear" w:color="auto" w:fill="FBE4D5" w:themeFill="accent2" w:themeFillTint="33"/>
            <w:vAlign w:val="center"/>
          </w:tcPr>
          <w:p w:rsidR="00CF398E" w:rsidRPr="00180A8B" w:rsidRDefault="00CF398E" w:rsidP="00ED122E">
            <w:pPr>
              <w:pStyle w:val="Default"/>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0"/>
                <w:szCs w:val="20"/>
                <w:lang w:val="sq-AL"/>
              </w:rPr>
            </w:pPr>
            <w:r w:rsidRPr="00180A8B">
              <w:rPr>
                <w:rFonts w:ascii="Book Antiqua" w:hAnsi="Book Antiqua"/>
                <w:color w:val="auto"/>
                <w:sz w:val="20"/>
                <w:szCs w:val="20"/>
                <w:lang w:val="sq-AL"/>
              </w:rPr>
              <w:t>Datat/kohëzgjatja</w:t>
            </w:r>
          </w:p>
        </w:tc>
        <w:tc>
          <w:tcPr>
            <w:tcW w:w="2443" w:type="dxa"/>
            <w:shd w:val="clear" w:color="auto" w:fill="FBE4D5" w:themeFill="accent2" w:themeFillTint="33"/>
            <w:vAlign w:val="center"/>
          </w:tcPr>
          <w:p w:rsidR="00CF398E" w:rsidRPr="00180A8B" w:rsidRDefault="00CF398E" w:rsidP="00ED122E">
            <w:pPr>
              <w:pStyle w:val="Default"/>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0"/>
                <w:szCs w:val="20"/>
                <w:lang w:val="sq-AL"/>
              </w:rPr>
            </w:pPr>
            <w:r w:rsidRPr="00180A8B">
              <w:rPr>
                <w:rFonts w:ascii="Book Antiqua" w:hAnsi="Book Antiqua"/>
                <w:color w:val="auto"/>
                <w:sz w:val="20"/>
                <w:szCs w:val="20"/>
                <w:lang w:val="sq-AL"/>
              </w:rPr>
              <w:t>Numri i kontribuuesve</w:t>
            </w:r>
          </w:p>
        </w:tc>
      </w:tr>
      <w:tr w:rsidR="00CF398E" w:rsidRPr="00180A8B" w:rsidTr="003C5637">
        <w:tc>
          <w:tcPr>
            <w:cnfStyle w:val="001000000000" w:firstRow="0" w:lastRow="0" w:firstColumn="1" w:lastColumn="0" w:oddVBand="0" w:evenVBand="0" w:oddHBand="0" w:evenHBand="0" w:firstRowFirstColumn="0" w:firstRowLastColumn="0" w:lastRowFirstColumn="0" w:lastRowLastColumn="0"/>
            <w:tcW w:w="4669" w:type="dxa"/>
            <w:shd w:val="clear" w:color="auto" w:fill="FBE4D5" w:themeFill="accent2" w:themeFillTint="33"/>
          </w:tcPr>
          <w:p w:rsidR="00CF398E" w:rsidRPr="00180A8B" w:rsidRDefault="00CF398E" w:rsidP="00ED122E">
            <w:pPr>
              <w:pStyle w:val="Default"/>
              <w:numPr>
                <w:ilvl w:val="0"/>
                <w:numId w:val="1"/>
              </w:numPr>
              <w:ind w:left="454"/>
              <w:rPr>
                <w:rFonts w:ascii="Book Antiqua" w:hAnsi="Book Antiqua"/>
                <w:b w:val="0"/>
                <w:color w:val="auto"/>
                <w:sz w:val="20"/>
                <w:szCs w:val="20"/>
                <w:lang w:val="sq-AL"/>
              </w:rPr>
            </w:pPr>
            <w:r w:rsidRPr="00180A8B">
              <w:rPr>
                <w:rFonts w:ascii="Book Antiqua" w:hAnsi="Book Antiqua"/>
                <w:b w:val="0"/>
                <w:color w:val="auto"/>
                <w:sz w:val="20"/>
                <w:szCs w:val="20"/>
                <w:lang w:val="sq-AL"/>
              </w:rPr>
              <w:t>Konsultimet me shkrim / në mënyrë elektronike;</w:t>
            </w:r>
          </w:p>
        </w:tc>
        <w:tc>
          <w:tcPr>
            <w:tcW w:w="2238" w:type="dxa"/>
          </w:tcPr>
          <w:p w:rsidR="00CF398E" w:rsidRPr="00180A8B" w:rsidRDefault="003C5637" w:rsidP="00ED122E">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0"/>
                <w:szCs w:val="20"/>
                <w:lang w:val="sq-AL"/>
              </w:rPr>
            </w:pPr>
            <w:r w:rsidRPr="00180A8B">
              <w:rPr>
                <w:rFonts w:ascii="Book Antiqua" w:hAnsi="Book Antiqua"/>
                <w:color w:val="auto"/>
                <w:sz w:val="20"/>
                <w:szCs w:val="20"/>
                <w:lang w:val="sq-AL"/>
              </w:rPr>
              <w:t>14.01.2022 - 04.02.2022</w:t>
            </w:r>
          </w:p>
          <w:p w:rsidR="003C5637" w:rsidRPr="00180A8B" w:rsidRDefault="003C5637" w:rsidP="00ED122E">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0"/>
                <w:szCs w:val="20"/>
                <w:lang w:val="sq-AL"/>
              </w:rPr>
            </w:pPr>
            <w:r w:rsidRPr="00180A8B">
              <w:rPr>
                <w:rFonts w:ascii="Book Antiqua" w:hAnsi="Book Antiqua"/>
                <w:sz w:val="20"/>
                <w:szCs w:val="20"/>
                <w:lang w:val="sq-AL"/>
              </w:rPr>
              <w:t>15 ditë pune</w:t>
            </w:r>
          </w:p>
        </w:tc>
        <w:tc>
          <w:tcPr>
            <w:tcW w:w="2443" w:type="dxa"/>
          </w:tcPr>
          <w:p w:rsidR="00CF398E" w:rsidRPr="00180A8B" w:rsidRDefault="003C5637" w:rsidP="00ED122E">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0"/>
                <w:szCs w:val="20"/>
                <w:lang w:val="sq-AL"/>
              </w:rPr>
            </w:pPr>
            <w:r w:rsidRPr="00180A8B">
              <w:rPr>
                <w:rFonts w:ascii="Book Antiqua" w:hAnsi="Book Antiqua"/>
                <w:color w:val="auto"/>
                <w:sz w:val="20"/>
                <w:szCs w:val="20"/>
                <w:lang w:val="sq-AL"/>
              </w:rPr>
              <w:t>1 kontribuues</w:t>
            </w:r>
          </w:p>
        </w:tc>
      </w:tr>
      <w:tr w:rsidR="003C5637" w:rsidRPr="00180A8B" w:rsidTr="003C5637">
        <w:tc>
          <w:tcPr>
            <w:cnfStyle w:val="001000000000" w:firstRow="0" w:lastRow="0" w:firstColumn="1" w:lastColumn="0" w:oddVBand="0" w:evenVBand="0" w:oddHBand="0" w:evenHBand="0" w:firstRowFirstColumn="0" w:firstRowLastColumn="0" w:lastRowFirstColumn="0" w:lastRowLastColumn="0"/>
            <w:tcW w:w="4669" w:type="dxa"/>
            <w:shd w:val="clear" w:color="auto" w:fill="FBE4D5" w:themeFill="accent2" w:themeFillTint="33"/>
          </w:tcPr>
          <w:p w:rsidR="003C5637" w:rsidRPr="00180A8B" w:rsidRDefault="003C5637" w:rsidP="00ED122E">
            <w:pPr>
              <w:pStyle w:val="Default"/>
              <w:numPr>
                <w:ilvl w:val="0"/>
                <w:numId w:val="1"/>
              </w:numPr>
              <w:ind w:left="454"/>
              <w:rPr>
                <w:rFonts w:ascii="Book Antiqua" w:hAnsi="Book Antiqua"/>
                <w:b w:val="0"/>
                <w:color w:val="auto"/>
                <w:sz w:val="20"/>
                <w:szCs w:val="20"/>
                <w:lang w:val="sq-AL"/>
              </w:rPr>
            </w:pPr>
            <w:r w:rsidRPr="00180A8B">
              <w:rPr>
                <w:rFonts w:ascii="Book Antiqua" w:hAnsi="Book Antiqua"/>
                <w:b w:val="0"/>
                <w:color w:val="auto"/>
                <w:sz w:val="20"/>
                <w:szCs w:val="20"/>
                <w:lang w:val="sq-AL"/>
              </w:rPr>
              <w:t>Publikimi në ueb faqe/Platformën për konsultime</w:t>
            </w:r>
          </w:p>
        </w:tc>
        <w:tc>
          <w:tcPr>
            <w:tcW w:w="2238" w:type="dxa"/>
          </w:tcPr>
          <w:p w:rsidR="003C5637" w:rsidRPr="00180A8B" w:rsidRDefault="003C5637" w:rsidP="00ED122E">
            <w:pP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180A8B">
              <w:rPr>
                <w:rFonts w:ascii="Book Antiqua" w:hAnsi="Book Antiqua"/>
                <w:sz w:val="20"/>
                <w:szCs w:val="20"/>
              </w:rPr>
              <w:t>14.01.2022 - 04.02.2022</w:t>
            </w:r>
          </w:p>
          <w:p w:rsidR="003C5637" w:rsidRPr="00180A8B" w:rsidRDefault="003C5637" w:rsidP="00ED122E">
            <w:pPr>
              <w:cnfStyle w:val="000000000000" w:firstRow="0" w:lastRow="0" w:firstColumn="0" w:lastColumn="0" w:oddVBand="0" w:evenVBand="0" w:oddHBand="0" w:evenHBand="0" w:firstRowFirstColumn="0" w:firstRowLastColumn="0" w:lastRowFirstColumn="0" w:lastRowLastColumn="0"/>
            </w:pPr>
            <w:r w:rsidRPr="00180A8B">
              <w:rPr>
                <w:rFonts w:ascii="Book Antiqua" w:hAnsi="Book Antiqua"/>
                <w:sz w:val="20"/>
                <w:szCs w:val="20"/>
              </w:rPr>
              <w:t>15 ditë pune</w:t>
            </w:r>
          </w:p>
        </w:tc>
        <w:tc>
          <w:tcPr>
            <w:tcW w:w="2443" w:type="dxa"/>
          </w:tcPr>
          <w:p w:rsidR="003C5637" w:rsidRPr="00180A8B" w:rsidRDefault="003C5637" w:rsidP="00ED122E">
            <w:pPr>
              <w:cnfStyle w:val="000000000000" w:firstRow="0" w:lastRow="0" w:firstColumn="0" w:lastColumn="0" w:oddVBand="0" w:evenVBand="0" w:oddHBand="0" w:evenHBand="0" w:firstRowFirstColumn="0" w:firstRowLastColumn="0" w:lastRowFirstColumn="0" w:lastRowLastColumn="0"/>
            </w:pPr>
            <w:r w:rsidRPr="00180A8B">
              <w:rPr>
                <w:rFonts w:ascii="Book Antiqua" w:hAnsi="Book Antiqua"/>
                <w:sz w:val="20"/>
                <w:szCs w:val="20"/>
              </w:rPr>
              <w:t>1 kontribuues</w:t>
            </w:r>
          </w:p>
        </w:tc>
      </w:tr>
      <w:tr w:rsidR="00CF398E" w:rsidRPr="00180A8B" w:rsidTr="003C5637">
        <w:tc>
          <w:tcPr>
            <w:cnfStyle w:val="001000000000" w:firstRow="0" w:lastRow="0" w:firstColumn="1" w:lastColumn="0" w:oddVBand="0" w:evenVBand="0" w:oddHBand="0" w:evenHBand="0" w:firstRowFirstColumn="0" w:firstRowLastColumn="0" w:lastRowFirstColumn="0" w:lastRowLastColumn="0"/>
            <w:tcW w:w="4669" w:type="dxa"/>
            <w:shd w:val="clear" w:color="auto" w:fill="FBE4D5" w:themeFill="accent2" w:themeFillTint="33"/>
          </w:tcPr>
          <w:p w:rsidR="00CF398E" w:rsidRPr="00180A8B" w:rsidRDefault="00CF398E" w:rsidP="00ED122E">
            <w:pPr>
              <w:pStyle w:val="Default"/>
              <w:numPr>
                <w:ilvl w:val="0"/>
                <w:numId w:val="1"/>
              </w:numPr>
              <w:ind w:left="454"/>
              <w:rPr>
                <w:rFonts w:ascii="Book Antiqua" w:hAnsi="Book Antiqua"/>
                <w:b w:val="0"/>
                <w:color w:val="auto"/>
                <w:sz w:val="20"/>
                <w:szCs w:val="20"/>
                <w:lang w:val="sq-AL"/>
              </w:rPr>
            </w:pPr>
            <w:r w:rsidRPr="00180A8B">
              <w:rPr>
                <w:rFonts w:ascii="Book Antiqua" w:hAnsi="Book Antiqua"/>
                <w:b w:val="0"/>
                <w:color w:val="auto"/>
                <w:sz w:val="20"/>
                <w:szCs w:val="20"/>
                <w:lang w:val="sq-AL"/>
              </w:rPr>
              <w:t>Takimet publike</w:t>
            </w:r>
          </w:p>
        </w:tc>
        <w:tc>
          <w:tcPr>
            <w:tcW w:w="2238" w:type="dxa"/>
          </w:tcPr>
          <w:p w:rsidR="00CF398E" w:rsidRPr="00180A8B" w:rsidRDefault="00CF398E" w:rsidP="00ED122E">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0"/>
                <w:szCs w:val="20"/>
                <w:lang w:val="sq-AL"/>
              </w:rPr>
            </w:pPr>
            <w:r w:rsidRPr="00180A8B">
              <w:rPr>
                <w:rFonts w:ascii="Book Antiqua" w:hAnsi="Book Antiqua"/>
                <w:color w:val="auto"/>
                <w:sz w:val="20"/>
                <w:szCs w:val="20"/>
                <w:lang w:val="sq-AL"/>
              </w:rPr>
              <w:t>Nuk ka pasur</w:t>
            </w:r>
          </w:p>
        </w:tc>
        <w:tc>
          <w:tcPr>
            <w:tcW w:w="2443" w:type="dxa"/>
          </w:tcPr>
          <w:p w:rsidR="00CF398E" w:rsidRPr="00180A8B" w:rsidRDefault="00CF398E" w:rsidP="00ED122E">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0"/>
                <w:szCs w:val="20"/>
                <w:lang w:val="sq-AL"/>
              </w:rPr>
            </w:pPr>
            <w:r w:rsidRPr="00180A8B">
              <w:rPr>
                <w:rFonts w:ascii="Book Antiqua" w:hAnsi="Book Antiqua"/>
                <w:color w:val="auto"/>
                <w:sz w:val="20"/>
                <w:szCs w:val="20"/>
                <w:lang w:val="sq-AL"/>
              </w:rPr>
              <w:t xml:space="preserve"> /</w:t>
            </w:r>
          </w:p>
        </w:tc>
      </w:tr>
    </w:tbl>
    <w:p w:rsidR="00CF398E" w:rsidRPr="00180A8B" w:rsidRDefault="00CF398E" w:rsidP="00ED122E">
      <w:pPr>
        <w:spacing w:before="120" w:after="120" w:line="240" w:lineRule="auto"/>
        <w:jc w:val="center"/>
        <w:outlineLvl w:val="0"/>
        <w:rPr>
          <w:rFonts w:ascii="Book Antiqua" w:hAnsi="Book Antiqua"/>
          <w:b/>
          <w:sz w:val="20"/>
          <w:szCs w:val="20"/>
        </w:rPr>
      </w:pPr>
      <w:r w:rsidRPr="00180A8B">
        <w:rPr>
          <w:rFonts w:ascii="Book Antiqua" w:hAnsi="Book Antiqua"/>
          <w:b/>
          <w:sz w:val="20"/>
          <w:szCs w:val="20"/>
        </w:rPr>
        <w:t>Përmbledhje e kontributeve të pranuara gjatë procesit të konsultimit</w:t>
      </w:r>
    </w:p>
    <w:p w:rsidR="00CF398E" w:rsidRPr="00180A8B" w:rsidRDefault="00CF398E" w:rsidP="00ED122E">
      <w:pPr>
        <w:spacing w:before="120" w:after="120" w:line="240" w:lineRule="auto"/>
        <w:jc w:val="both"/>
        <w:rPr>
          <w:rFonts w:ascii="Book Antiqua" w:hAnsi="Book Antiqua"/>
          <w:sz w:val="20"/>
          <w:szCs w:val="20"/>
        </w:rPr>
      </w:pPr>
      <w:r w:rsidRPr="00180A8B">
        <w:rPr>
          <w:rFonts w:ascii="Book Antiqua" w:hAnsi="Book Antiqua"/>
          <w:sz w:val="20"/>
          <w:szCs w:val="20"/>
        </w:rPr>
        <w:t>Si pjesë e konsultimit zyrtar në draft-Programin Kombëtar për Zbatim</w:t>
      </w:r>
      <w:r w:rsidR="00A017CE" w:rsidRPr="00180A8B">
        <w:rPr>
          <w:rFonts w:ascii="Book Antiqua" w:hAnsi="Book Antiqua"/>
          <w:sz w:val="20"/>
          <w:szCs w:val="20"/>
        </w:rPr>
        <w:t>in e Marrëveshjes së Stabilizim-</w:t>
      </w:r>
      <w:r w:rsidRPr="00180A8B">
        <w:rPr>
          <w:rFonts w:ascii="Book Antiqua" w:hAnsi="Book Antiqua"/>
          <w:sz w:val="20"/>
          <w:szCs w:val="20"/>
        </w:rPr>
        <w:t>Asociimit 202</w:t>
      </w:r>
      <w:r w:rsidR="003C5637" w:rsidRPr="00180A8B">
        <w:rPr>
          <w:rFonts w:ascii="Book Antiqua" w:hAnsi="Book Antiqua"/>
          <w:sz w:val="20"/>
          <w:szCs w:val="20"/>
        </w:rPr>
        <w:t>2</w:t>
      </w:r>
      <w:r w:rsidR="00A017CE" w:rsidRPr="00180A8B">
        <w:rPr>
          <w:rFonts w:ascii="Book Antiqua" w:hAnsi="Book Antiqua"/>
          <w:sz w:val="20"/>
          <w:szCs w:val="20"/>
        </w:rPr>
        <w:t>-</w:t>
      </w:r>
      <w:r w:rsidR="00212965" w:rsidRPr="00180A8B">
        <w:rPr>
          <w:rFonts w:ascii="Book Antiqua" w:hAnsi="Book Antiqua"/>
          <w:sz w:val="20"/>
          <w:szCs w:val="20"/>
        </w:rPr>
        <w:t>202</w:t>
      </w:r>
      <w:r w:rsidR="003C5637" w:rsidRPr="00180A8B">
        <w:rPr>
          <w:rFonts w:ascii="Book Antiqua" w:hAnsi="Book Antiqua"/>
          <w:sz w:val="20"/>
          <w:szCs w:val="20"/>
        </w:rPr>
        <w:t>6</w:t>
      </w:r>
      <w:r w:rsidRPr="00180A8B">
        <w:rPr>
          <w:rFonts w:ascii="Book Antiqua" w:hAnsi="Book Antiqua"/>
          <w:sz w:val="20"/>
          <w:szCs w:val="20"/>
        </w:rPr>
        <w:t xml:space="preserve"> përmes platformës online, </w:t>
      </w:r>
      <w:r w:rsidR="003C5637" w:rsidRPr="00180A8B">
        <w:rPr>
          <w:rFonts w:ascii="Book Antiqua" w:hAnsi="Book Antiqua"/>
          <w:sz w:val="20"/>
          <w:szCs w:val="20"/>
        </w:rPr>
        <w:t>një</w:t>
      </w:r>
      <w:r w:rsidR="00BD790C" w:rsidRPr="00180A8B">
        <w:rPr>
          <w:rFonts w:ascii="Book Antiqua" w:hAnsi="Book Antiqua"/>
          <w:sz w:val="20"/>
          <w:szCs w:val="20"/>
        </w:rPr>
        <w:t xml:space="preserve"> nga </w:t>
      </w:r>
      <w:r w:rsidR="003660D2" w:rsidRPr="00180A8B">
        <w:rPr>
          <w:rFonts w:ascii="Book Antiqua" w:hAnsi="Book Antiqua"/>
          <w:sz w:val="20"/>
          <w:szCs w:val="20"/>
        </w:rPr>
        <w:t xml:space="preserve">të </w:t>
      </w:r>
      <w:r w:rsidR="003C5637" w:rsidRPr="00180A8B">
        <w:rPr>
          <w:rFonts w:ascii="Book Antiqua" w:hAnsi="Book Antiqua"/>
          <w:sz w:val="20"/>
          <w:szCs w:val="20"/>
        </w:rPr>
        <w:t>dy</w:t>
      </w:r>
      <w:r w:rsidRPr="00180A8B">
        <w:rPr>
          <w:rFonts w:ascii="Book Antiqua" w:hAnsi="Book Antiqua"/>
          <w:sz w:val="20"/>
          <w:szCs w:val="20"/>
        </w:rPr>
        <w:t xml:space="preserve"> kontributet nga palët e interesit janë dërguar me email te zyrtari kontaktues nga </w:t>
      </w:r>
      <w:r w:rsidR="00212965" w:rsidRPr="00180A8B">
        <w:rPr>
          <w:rFonts w:ascii="Book Antiqua" w:hAnsi="Book Antiqua"/>
          <w:sz w:val="20"/>
          <w:szCs w:val="20"/>
        </w:rPr>
        <w:t>ZKM/</w:t>
      </w:r>
      <w:r w:rsidR="003C5637" w:rsidRPr="00180A8B">
        <w:rPr>
          <w:rFonts w:ascii="Book Antiqua" w:hAnsi="Book Antiqua"/>
          <w:sz w:val="20"/>
          <w:szCs w:val="20"/>
        </w:rPr>
        <w:t>ZKPSA</w:t>
      </w:r>
      <w:r w:rsidR="003660D2" w:rsidRPr="00180A8B">
        <w:rPr>
          <w:rFonts w:ascii="Book Antiqua" w:hAnsi="Book Antiqua"/>
          <w:sz w:val="20"/>
          <w:szCs w:val="20"/>
        </w:rPr>
        <w:t xml:space="preserve"> (përkatësisht Zyra për Koordinimin e Procesit të Stabilizim Asociimit</w:t>
      </w:r>
      <w:r w:rsidR="00A017CE" w:rsidRPr="00180A8B">
        <w:rPr>
          <w:rFonts w:ascii="Book Antiqua" w:hAnsi="Book Antiqua"/>
          <w:sz w:val="20"/>
          <w:szCs w:val="20"/>
        </w:rPr>
        <w:t>,</w:t>
      </w:r>
      <w:r w:rsidR="003660D2" w:rsidRPr="00180A8B">
        <w:rPr>
          <w:rFonts w:ascii="Book Antiqua" w:hAnsi="Book Antiqua"/>
          <w:sz w:val="20"/>
          <w:szCs w:val="20"/>
        </w:rPr>
        <w:t xml:space="preserve"> si </w:t>
      </w:r>
      <w:r w:rsidR="003C5637" w:rsidRPr="00180A8B">
        <w:rPr>
          <w:rFonts w:ascii="Book Antiqua" w:hAnsi="Book Antiqua"/>
          <w:sz w:val="20"/>
          <w:szCs w:val="20"/>
        </w:rPr>
        <w:t>zyra</w:t>
      </w:r>
      <w:r w:rsidR="003660D2" w:rsidRPr="00180A8B">
        <w:rPr>
          <w:rFonts w:ascii="Book Antiqua" w:hAnsi="Book Antiqua"/>
          <w:sz w:val="20"/>
          <w:szCs w:val="20"/>
        </w:rPr>
        <w:t xml:space="preserve"> koordinues për hartimin e këtij dokumenti)</w:t>
      </w:r>
      <w:r w:rsidRPr="00180A8B">
        <w:rPr>
          <w:rFonts w:ascii="Book Antiqua" w:hAnsi="Book Antiqua"/>
          <w:sz w:val="20"/>
          <w:szCs w:val="20"/>
        </w:rPr>
        <w:t xml:space="preserve">, ndërsa </w:t>
      </w:r>
      <w:r w:rsidR="003C5637" w:rsidRPr="00180A8B">
        <w:rPr>
          <w:rFonts w:ascii="Book Antiqua" w:hAnsi="Book Antiqua"/>
          <w:sz w:val="20"/>
          <w:szCs w:val="20"/>
        </w:rPr>
        <w:t>një</w:t>
      </w:r>
      <w:r w:rsidR="00AB5F3C" w:rsidRPr="00180A8B">
        <w:rPr>
          <w:rFonts w:ascii="Book Antiqua" w:hAnsi="Book Antiqua"/>
          <w:sz w:val="20"/>
          <w:szCs w:val="20"/>
        </w:rPr>
        <w:t xml:space="preserve"> </w:t>
      </w:r>
      <w:r w:rsidRPr="00180A8B">
        <w:rPr>
          <w:rFonts w:ascii="Book Antiqua" w:hAnsi="Book Antiqua"/>
          <w:sz w:val="20"/>
          <w:szCs w:val="20"/>
        </w:rPr>
        <w:t xml:space="preserve">koment gjithashtu </w:t>
      </w:r>
      <w:r w:rsidR="003C5637" w:rsidRPr="00180A8B">
        <w:rPr>
          <w:rFonts w:ascii="Book Antiqua" w:hAnsi="Book Antiqua"/>
          <w:sz w:val="20"/>
          <w:szCs w:val="20"/>
        </w:rPr>
        <w:t xml:space="preserve">është </w:t>
      </w:r>
      <w:r w:rsidRPr="00180A8B">
        <w:rPr>
          <w:rFonts w:ascii="Book Antiqua" w:hAnsi="Book Antiqua"/>
          <w:sz w:val="20"/>
          <w:szCs w:val="20"/>
        </w:rPr>
        <w:t>ngarkuar në këtë platformë.</w:t>
      </w:r>
    </w:p>
    <w:p w:rsidR="00CF398E" w:rsidRPr="00180A8B" w:rsidRDefault="00CF398E" w:rsidP="00ED122E">
      <w:pPr>
        <w:spacing w:before="120" w:after="120" w:line="240" w:lineRule="auto"/>
        <w:jc w:val="center"/>
        <w:outlineLvl w:val="0"/>
        <w:rPr>
          <w:rFonts w:ascii="Book Antiqua" w:hAnsi="Book Antiqua"/>
          <w:b/>
          <w:sz w:val="20"/>
          <w:szCs w:val="20"/>
        </w:rPr>
      </w:pPr>
      <w:r w:rsidRPr="00180A8B">
        <w:rPr>
          <w:rFonts w:ascii="Book Antiqua" w:hAnsi="Book Antiqua"/>
          <w:b/>
          <w:sz w:val="20"/>
          <w:szCs w:val="20"/>
        </w:rPr>
        <w:t>Çështje të tjera</w:t>
      </w:r>
    </w:p>
    <w:p w:rsidR="00CF398E" w:rsidRPr="00180A8B" w:rsidRDefault="00CF398E" w:rsidP="00ED122E">
      <w:pPr>
        <w:spacing w:before="120" w:after="120" w:line="240" w:lineRule="auto"/>
        <w:jc w:val="both"/>
        <w:rPr>
          <w:rFonts w:ascii="Book Antiqua" w:hAnsi="Book Antiqua"/>
          <w:sz w:val="20"/>
          <w:szCs w:val="20"/>
        </w:rPr>
      </w:pPr>
      <w:r w:rsidRPr="00180A8B">
        <w:rPr>
          <w:rFonts w:ascii="Book Antiqua" w:hAnsi="Book Antiqua"/>
          <w:sz w:val="20"/>
          <w:szCs w:val="20"/>
        </w:rPr>
        <w:t>Me qëllim t</w:t>
      </w:r>
      <w:r w:rsidR="00A017CE" w:rsidRPr="00180A8B">
        <w:rPr>
          <w:rFonts w:ascii="Book Antiqua" w:hAnsi="Book Antiqua"/>
          <w:sz w:val="20"/>
          <w:szCs w:val="20"/>
        </w:rPr>
        <w:t>ë finalizimit të draft-PKZMSA 202</w:t>
      </w:r>
      <w:r w:rsidR="003C5637" w:rsidRPr="00180A8B">
        <w:rPr>
          <w:rFonts w:ascii="Book Antiqua" w:hAnsi="Book Antiqua"/>
          <w:sz w:val="20"/>
          <w:szCs w:val="20"/>
        </w:rPr>
        <w:t>2</w:t>
      </w:r>
      <w:r w:rsidR="00A017CE" w:rsidRPr="00180A8B">
        <w:rPr>
          <w:rFonts w:ascii="Book Antiqua" w:hAnsi="Book Antiqua"/>
          <w:sz w:val="20"/>
          <w:szCs w:val="20"/>
        </w:rPr>
        <w:t>-202</w:t>
      </w:r>
      <w:r w:rsidR="003C5637" w:rsidRPr="00180A8B">
        <w:rPr>
          <w:rFonts w:ascii="Book Antiqua" w:hAnsi="Book Antiqua"/>
          <w:sz w:val="20"/>
          <w:szCs w:val="20"/>
        </w:rPr>
        <w:t>6</w:t>
      </w:r>
      <w:r w:rsidRPr="00180A8B">
        <w:rPr>
          <w:rFonts w:ascii="Book Antiqua" w:hAnsi="Book Antiqua"/>
          <w:sz w:val="20"/>
          <w:szCs w:val="20"/>
        </w:rPr>
        <w:t xml:space="preserve"> dhe shqyrtimit të komenteve</w:t>
      </w:r>
      <w:r w:rsidR="003660D2" w:rsidRPr="00180A8B">
        <w:rPr>
          <w:rFonts w:ascii="Book Antiqua" w:hAnsi="Book Antiqua"/>
          <w:sz w:val="20"/>
          <w:szCs w:val="20"/>
        </w:rPr>
        <w:t xml:space="preserve"> të pranuara, </w:t>
      </w:r>
      <w:bookmarkStart w:id="1" w:name="_GoBack"/>
      <w:bookmarkEnd w:id="1"/>
      <w:r w:rsidR="00E13E8A" w:rsidRPr="00180A8B">
        <w:rPr>
          <w:rFonts w:ascii="Book Antiqua" w:hAnsi="Book Antiqua"/>
          <w:sz w:val="20"/>
          <w:szCs w:val="20"/>
        </w:rPr>
        <w:t>gjatë</w:t>
      </w:r>
      <w:r w:rsidR="003C5637" w:rsidRPr="00180A8B">
        <w:rPr>
          <w:rFonts w:ascii="Book Antiqua" w:hAnsi="Book Antiqua"/>
          <w:sz w:val="20"/>
          <w:szCs w:val="20"/>
        </w:rPr>
        <w:t xml:space="preserve"> muajit</w:t>
      </w:r>
      <w:r w:rsidR="003660D2" w:rsidRPr="00180A8B">
        <w:rPr>
          <w:rFonts w:ascii="Book Antiqua" w:hAnsi="Book Antiqua"/>
          <w:sz w:val="20"/>
          <w:szCs w:val="20"/>
        </w:rPr>
        <w:t xml:space="preserve"> </w:t>
      </w:r>
      <w:r w:rsidR="003C5637" w:rsidRPr="00180A8B">
        <w:rPr>
          <w:rFonts w:ascii="Book Antiqua" w:hAnsi="Book Antiqua"/>
          <w:sz w:val="20"/>
          <w:szCs w:val="20"/>
        </w:rPr>
        <w:t xml:space="preserve">shkurt </w:t>
      </w:r>
      <w:r w:rsidR="003660D2" w:rsidRPr="00180A8B">
        <w:rPr>
          <w:rFonts w:ascii="Book Antiqua" w:hAnsi="Book Antiqua"/>
          <w:sz w:val="20"/>
          <w:szCs w:val="20"/>
        </w:rPr>
        <w:t xml:space="preserve">të gjitha komentet e pranuara janë shqyrtuar nga </w:t>
      </w:r>
      <w:r w:rsidR="003C5637" w:rsidRPr="00180A8B">
        <w:rPr>
          <w:rFonts w:ascii="Book Antiqua" w:hAnsi="Book Antiqua"/>
          <w:sz w:val="20"/>
          <w:szCs w:val="20"/>
        </w:rPr>
        <w:t>zyrat</w:t>
      </w:r>
      <w:r w:rsidR="003660D2" w:rsidRPr="00180A8B">
        <w:rPr>
          <w:rFonts w:ascii="Book Antiqua" w:hAnsi="Book Antiqua"/>
          <w:sz w:val="20"/>
          <w:szCs w:val="20"/>
        </w:rPr>
        <w:t xml:space="preserve"> përgjegjëse për sektorët përkatës të integrimit evropian</w:t>
      </w:r>
      <w:r w:rsidRPr="00180A8B">
        <w:rPr>
          <w:rFonts w:ascii="Book Antiqua" w:hAnsi="Book Antiqua"/>
          <w:sz w:val="20"/>
          <w:szCs w:val="20"/>
        </w:rPr>
        <w:t xml:space="preserve">. Të gjitha kontributet e pranuara janë shqyrtuar veç e veç, ndërsa raporti i detajuar për komentet e pranuara, kontribuuesit dhe statusin e kontributeve janë paraqitur në formë të plotë ne shtojcën e këtij raporti. </w:t>
      </w:r>
    </w:p>
    <w:p w:rsidR="00116699" w:rsidRPr="00180A8B" w:rsidRDefault="00BD790C" w:rsidP="00ED122E">
      <w:pPr>
        <w:spacing w:before="120" w:after="120" w:line="240" w:lineRule="auto"/>
        <w:jc w:val="both"/>
        <w:rPr>
          <w:rFonts w:ascii="Book Antiqua" w:hAnsi="Book Antiqua"/>
          <w:sz w:val="20"/>
          <w:szCs w:val="20"/>
        </w:rPr>
      </w:pPr>
      <w:r w:rsidRPr="00180A8B">
        <w:rPr>
          <w:rFonts w:ascii="Book Antiqua" w:hAnsi="Book Antiqua"/>
          <w:sz w:val="20"/>
          <w:szCs w:val="20"/>
        </w:rPr>
        <w:t>Programi Kombëtar për Zbatimin e Marrëveshjes së Stabilizim Asociimit 2021 – 2025 është miratuar</w:t>
      </w:r>
      <w:r w:rsidR="00AB5F3C" w:rsidRPr="00180A8B">
        <w:rPr>
          <w:rFonts w:ascii="Book Antiqua" w:hAnsi="Book Antiqua"/>
          <w:sz w:val="20"/>
          <w:szCs w:val="20"/>
        </w:rPr>
        <w:t xml:space="preserve"> nga </w:t>
      </w:r>
      <w:r w:rsidRPr="00180A8B">
        <w:rPr>
          <w:rFonts w:ascii="Book Antiqua" w:hAnsi="Book Antiqua"/>
          <w:sz w:val="20"/>
          <w:szCs w:val="20"/>
        </w:rPr>
        <w:t>Qeveri</w:t>
      </w:r>
      <w:r w:rsidR="00AB5F3C" w:rsidRPr="00180A8B">
        <w:rPr>
          <w:rFonts w:ascii="Book Antiqua" w:hAnsi="Book Antiqua"/>
          <w:sz w:val="20"/>
          <w:szCs w:val="20"/>
        </w:rPr>
        <w:t xml:space="preserve">a </w:t>
      </w:r>
      <w:r w:rsidRPr="00180A8B">
        <w:rPr>
          <w:rFonts w:ascii="Book Antiqua" w:hAnsi="Book Antiqua"/>
          <w:sz w:val="20"/>
          <w:szCs w:val="20"/>
        </w:rPr>
        <w:t xml:space="preserve">më </w:t>
      </w:r>
      <w:r w:rsidR="00F05577" w:rsidRPr="00180A8B">
        <w:rPr>
          <w:rFonts w:ascii="Book Antiqua" w:hAnsi="Book Antiqua"/>
          <w:sz w:val="20"/>
          <w:szCs w:val="20"/>
        </w:rPr>
        <w:t>9</w:t>
      </w:r>
      <w:r w:rsidR="00AB5F3C" w:rsidRPr="00180A8B">
        <w:rPr>
          <w:rFonts w:ascii="Book Antiqua" w:hAnsi="Book Antiqua"/>
          <w:sz w:val="20"/>
          <w:szCs w:val="20"/>
        </w:rPr>
        <w:t xml:space="preserve"> mars </w:t>
      </w:r>
      <w:r w:rsidR="00F05577" w:rsidRPr="00180A8B">
        <w:rPr>
          <w:rFonts w:ascii="Book Antiqua" w:hAnsi="Book Antiqua"/>
          <w:sz w:val="20"/>
          <w:szCs w:val="20"/>
        </w:rPr>
        <w:t>2022</w:t>
      </w:r>
      <w:r w:rsidR="00D365C9" w:rsidRPr="00180A8B">
        <w:rPr>
          <w:rFonts w:ascii="Book Antiqua" w:hAnsi="Book Antiqua"/>
          <w:sz w:val="20"/>
          <w:szCs w:val="20"/>
        </w:rPr>
        <w:t xml:space="preserve"> dhe në Kuvend</w:t>
      </w:r>
      <w:r w:rsidR="00AB5F3C" w:rsidRPr="00180A8B">
        <w:rPr>
          <w:rFonts w:ascii="Book Antiqua" w:hAnsi="Book Antiqua"/>
          <w:sz w:val="20"/>
          <w:szCs w:val="20"/>
        </w:rPr>
        <w:t xml:space="preserve"> më 7 prill 2022</w:t>
      </w:r>
      <w:r w:rsidR="00D365C9" w:rsidRPr="00180A8B">
        <w:rPr>
          <w:rFonts w:ascii="Book Antiqua" w:hAnsi="Book Antiqua"/>
          <w:sz w:val="20"/>
          <w:szCs w:val="20"/>
        </w:rPr>
        <w:t>.</w:t>
      </w:r>
    </w:p>
    <w:p w:rsidR="00BD790C" w:rsidRPr="00180A8B" w:rsidRDefault="00BD790C" w:rsidP="00ED122E">
      <w:pPr>
        <w:spacing w:before="120" w:after="120" w:line="240" w:lineRule="auto"/>
        <w:jc w:val="both"/>
        <w:rPr>
          <w:rFonts w:ascii="Book Antiqua" w:hAnsi="Book Antiqua"/>
          <w:sz w:val="20"/>
          <w:szCs w:val="20"/>
        </w:rPr>
      </w:pPr>
    </w:p>
    <w:p w:rsidR="000B4EBC" w:rsidRPr="00180A8B" w:rsidRDefault="000B4EBC" w:rsidP="00ED122E">
      <w:pPr>
        <w:spacing w:before="120" w:after="120" w:line="240" w:lineRule="auto"/>
        <w:jc w:val="both"/>
        <w:rPr>
          <w:rFonts w:ascii="Book Antiqua" w:hAnsi="Book Antiqua"/>
          <w:sz w:val="20"/>
          <w:szCs w:val="20"/>
        </w:rPr>
        <w:sectPr w:rsidR="000B4EBC" w:rsidRPr="00180A8B">
          <w:footerReference w:type="default" r:id="rId8"/>
          <w:pgSz w:w="12240" w:h="15840"/>
          <w:pgMar w:top="1440" w:right="1440" w:bottom="1440" w:left="1440" w:header="720" w:footer="720" w:gutter="0"/>
          <w:cols w:space="720"/>
          <w:docGrid w:linePitch="360"/>
        </w:sectPr>
      </w:pPr>
    </w:p>
    <w:tbl>
      <w:tblPr>
        <w:tblpPr w:leftFromText="180" w:rightFromText="180" w:vertAnchor="text" w:horzAnchor="margin" w:tblpXSpec="center" w:tblpY="-70"/>
        <w:tblOverlap w:val="never"/>
        <w:tblW w:w="147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DD6EE" w:themeFill="accent1" w:themeFillTint="66"/>
        <w:tblLayout w:type="fixed"/>
        <w:tblLook w:val="04A0" w:firstRow="1" w:lastRow="0" w:firstColumn="1" w:lastColumn="0" w:noHBand="0" w:noVBand="1"/>
      </w:tblPr>
      <w:tblGrid>
        <w:gridCol w:w="1665"/>
        <w:gridCol w:w="4950"/>
        <w:gridCol w:w="1260"/>
        <w:gridCol w:w="1260"/>
        <w:gridCol w:w="5575"/>
      </w:tblGrid>
      <w:tr w:rsidR="00CF398E" w:rsidRPr="00180A8B" w:rsidTr="00FB010B">
        <w:trPr>
          <w:trHeight w:val="20"/>
        </w:trPr>
        <w:tc>
          <w:tcPr>
            <w:tcW w:w="14710" w:type="dxa"/>
            <w:gridSpan w:val="5"/>
            <w:shd w:val="clear" w:color="auto" w:fill="BDD6EE" w:themeFill="accent1" w:themeFillTint="66"/>
          </w:tcPr>
          <w:p w:rsidR="00CF398E" w:rsidRPr="00180A8B" w:rsidRDefault="00CF398E" w:rsidP="00ED122E">
            <w:pPr>
              <w:autoSpaceDE w:val="0"/>
              <w:autoSpaceDN w:val="0"/>
              <w:adjustRightInd w:val="0"/>
              <w:spacing w:after="0" w:line="240" w:lineRule="auto"/>
              <w:jc w:val="center"/>
              <w:rPr>
                <w:rFonts w:ascii="Times New Roman" w:hAnsi="Times New Roman" w:cs="Times New Roman"/>
                <w:b/>
              </w:rPr>
            </w:pPr>
            <w:r w:rsidRPr="00180A8B">
              <w:rPr>
                <w:rFonts w:ascii="Times New Roman" w:hAnsi="Times New Roman" w:cs="Times New Roman"/>
                <w:b/>
              </w:rPr>
              <w:lastRenderedPageBreak/>
              <w:t xml:space="preserve">Komentet </w:t>
            </w:r>
            <w:r w:rsidR="00E13E8A" w:rsidRPr="00180A8B">
              <w:rPr>
                <w:rFonts w:ascii="Times New Roman" w:hAnsi="Times New Roman" w:cs="Times New Roman"/>
                <w:b/>
              </w:rPr>
              <w:t>në</w:t>
            </w:r>
            <w:r w:rsidR="00AB5F3C" w:rsidRPr="00180A8B">
              <w:rPr>
                <w:rFonts w:ascii="Times New Roman" w:hAnsi="Times New Roman" w:cs="Times New Roman"/>
                <w:b/>
              </w:rPr>
              <w:t xml:space="preserve"> </w:t>
            </w:r>
            <w:r w:rsidR="00D365C9" w:rsidRPr="00180A8B">
              <w:rPr>
                <w:rFonts w:ascii="Times New Roman" w:hAnsi="Times New Roman" w:cs="Times New Roman"/>
                <w:b/>
              </w:rPr>
              <w:t>d</w:t>
            </w:r>
            <w:r w:rsidRPr="00180A8B">
              <w:rPr>
                <w:rFonts w:ascii="Times New Roman" w:hAnsi="Times New Roman" w:cs="Times New Roman"/>
                <w:b/>
              </w:rPr>
              <w:t>raft</w:t>
            </w:r>
            <w:r w:rsidR="00D365C9" w:rsidRPr="00180A8B">
              <w:rPr>
                <w:rFonts w:ascii="Times New Roman" w:hAnsi="Times New Roman" w:cs="Times New Roman"/>
                <w:b/>
              </w:rPr>
              <w:t>-</w:t>
            </w:r>
            <w:r w:rsidRPr="00180A8B">
              <w:rPr>
                <w:rFonts w:ascii="Times New Roman" w:hAnsi="Times New Roman" w:cs="Times New Roman"/>
                <w:b/>
              </w:rPr>
              <w:t>Programin Kombëtar për Zbatimin e Marrëvesh</w:t>
            </w:r>
            <w:r w:rsidR="00FB5C5F" w:rsidRPr="00180A8B">
              <w:rPr>
                <w:rFonts w:ascii="Times New Roman" w:hAnsi="Times New Roman" w:cs="Times New Roman"/>
                <w:b/>
              </w:rPr>
              <w:t>jes së Stabilizim-Asociimit 202</w:t>
            </w:r>
            <w:r w:rsidR="00AB5F3C" w:rsidRPr="00180A8B">
              <w:rPr>
                <w:rFonts w:ascii="Times New Roman" w:hAnsi="Times New Roman" w:cs="Times New Roman"/>
                <w:b/>
              </w:rPr>
              <w:t>2</w:t>
            </w:r>
            <w:r w:rsidR="00D365C9" w:rsidRPr="00180A8B">
              <w:rPr>
                <w:rFonts w:ascii="Times New Roman" w:hAnsi="Times New Roman" w:cs="Times New Roman"/>
                <w:b/>
              </w:rPr>
              <w:t>-</w:t>
            </w:r>
            <w:r w:rsidRPr="00180A8B">
              <w:rPr>
                <w:rFonts w:ascii="Times New Roman" w:hAnsi="Times New Roman" w:cs="Times New Roman"/>
                <w:b/>
              </w:rPr>
              <w:t>202</w:t>
            </w:r>
            <w:r w:rsidR="00AB5F3C" w:rsidRPr="00180A8B">
              <w:rPr>
                <w:rFonts w:ascii="Times New Roman" w:hAnsi="Times New Roman" w:cs="Times New Roman"/>
                <w:b/>
              </w:rPr>
              <w:t>6</w:t>
            </w:r>
          </w:p>
        </w:tc>
      </w:tr>
      <w:tr w:rsidR="00CF398E" w:rsidRPr="00180A8B" w:rsidTr="00FB010B">
        <w:trPr>
          <w:trHeight w:val="1272"/>
        </w:trPr>
        <w:tc>
          <w:tcPr>
            <w:tcW w:w="14710" w:type="dxa"/>
            <w:gridSpan w:val="5"/>
            <w:shd w:val="clear" w:color="auto" w:fill="BDD6EE" w:themeFill="accent1" w:themeFillTint="66"/>
          </w:tcPr>
          <w:p w:rsidR="00CF398E" w:rsidRPr="00180A8B" w:rsidRDefault="00CF398E" w:rsidP="00ED122E">
            <w:pPr>
              <w:autoSpaceDE w:val="0"/>
              <w:autoSpaceDN w:val="0"/>
              <w:adjustRightInd w:val="0"/>
              <w:spacing w:after="0" w:line="240" w:lineRule="auto"/>
              <w:jc w:val="center"/>
              <w:rPr>
                <w:rFonts w:ascii="Times New Roman" w:hAnsi="Times New Roman" w:cs="Times New Roman"/>
                <w:b/>
              </w:rPr>
            </w:pPr>
            <w:r w:rsidRPr="00180A8B">
              <w:rPr>
                <w:rFonts w:ascii="Times New Roman" w:hAnsi="Times New Roman" w:cs="Times New Roman"/>
                <w:b/>
              </w:rPr>
              <w:t>Komentet e përgjithshme</w:t>
            </w:r>
          </w:p>
          <w:p w:rsidR="007D2995" w:rsidRPr="00180A8B" w:rsidRDefault="007D2995" w:rsidP="00ED122E">
            <w:pPr>
              <w:spacing w:before="120" w:after="0" w:line="240" w:lineRule="auto"/>
              <w:rPr>
                <w:rFonts w:ascii="Times New Roman" w:hAnsi="Times New Roman" w:cs="Times New Roman"/>
              </w:rPr>
            </w:pPr>
            <w:r w:rsidRPr="00180A8B">
              <w:rPr>
                <w:rFonts w:ascii="Times New Roman" w:hAnsi="Times New Roman" w:cs="Times New Roman"/>
              </w:rPr>
              <w:t>Fondacioni Kosovar për Shoqëri Civile (KCSF) ka analizuar draft Programin Kombëtar për Zbatimin e Marrëveshjes së Stabilizim Asociimit 2022-2026 (në tekstin e mëtejmë draft PKZMSA 2022-2026) si dhe Raportin e konsultimit për PKZMSA 2021-2025 për komentet e dhëna ndaj rekomandimeve. Në përputhje me misionin dhe fushë veprimtarinë e vet, komentet e KCSF-së përqendrohen në pjesën e bashkëpunimit Qeveri &amp;ndash; shoqëri civile dhe në procesin e konsultimit publik dhe përfshirjes së tyre në politikë bërje, si dhe në disa elemente të tjera që ndikojnë në punën e shoqërisë civile në Kosovë. Në përgjithësi, KCSF vlerëson që disa nga parimet dhe përkushtimet e Kosovës të marra nëpërmjet nënshkrimit të MSA-së në lidhje me përfshirjen e organizatave të shoqërisë civile në procesin e politikë bërjes si dhe në procesin e integrimit europian të Kosovës, nuk janë të reflektuara si duhet përgjatë draft PKZMSA 2022-2026.</w:t>
            </w:r>
          </w:p>
          <w:p w:rsidR="00CF398E" w:rsidRPr="00180A8B" w:rsidRDefault="008B5E38" w:rsidP="00ED122E">
            <w:pPr>
              <w:spacing w:before="120" w:after="0" w:line="240" w:lineRule="auto"/>
              <w:rPr>
                <w:rFonts w:ascii="Times New Roman" w:hAnsi="Times New Roman" w:cs="Times New Roman"/>
              </w:rPr>
            </w:pPr>
            <w:r w:rsidRPr="00180A8B">
              <w:rPr>
                <w:rFonts w:ascii="Times New Roman" w:hAnsi="Times New Roman" w:cs="Times New Roman"/>
              </w:rPr>
              <w:t>KCSF rekomandon, që përkushtimi i Republikës së Kosovës i treguar nëpërmjet MSA-së për zhvillim të shoqërisë civile dhe respektim të parimeve demokratike të jetë element horizontal përgjatë draft PKZMSA 2022-2026, ndërsa në pjesët përkatëse të trajtohen edhe një numër dokumentesh qeveritare për këto dy fusha ekzistuese. Për më tepër, duhet</w:t>
            </w:r>
            <w:r w:rsidR="00CF2782" w:rsidRPr="00180A8B">
              <w:rPr>
                <w:rFonts w:ascii="Times New Roman" w:hAnsi="Times New Roman" w:cs="Times New Roman"/>
              </w:rPr>
              <w:t xml:space="preserve"> t</w:t>
            </w:r>
            <w:r w:rsidRPr="00180A8B">
              <w:rPr>
                <w:rFonts w:ascii="Times New Roman" w:hAnsi="Times New Roman" w:cs="Times New Roman"/>
              </w:rPr>
              <w:t>i kushtohet vëmendje informatave të prezantuara në fushat për të cilat ofrohen këto komente, pasi që nuk janë të përditësuara dhe nuk ofrojnë pasqyrë të qartë të zhvillimeve të deritashme dhe sfidave të ardhshme. Prandaj KCSF rekomandon që zbatimi i Rregullores 05/2016 për Standardet Minimale për konsultim Publik, Udhëzuesit për konsultime me organizatat e shoqërisë civile dhe palët e tjera të interesuara në kuadër të Org</w:t>
            </w:r>
            <w:r w:rsidR="00CF2782" w:rsidRPr="00180A8B">
              <w:rPr>
                <w:rFonts w:ascii="Times New Roman" w:hAnsi="Times New Roman" w:cs="Times New Roman"/>
              </w:rPr>
              <w:t>aneve të Stabilizim-Asociimit BE-</w:t>
            </w:r>
            <w:r w:rsidRPr="00180A8B">
              <w:rPr>
                <w:rFonts w:ascii="Times New Roman" w:hAnsi="Times New Roman" w:cs="Times New Roman"/>
              </w:rPr>
              <w:t xml:space="preserve"> Kosovë, dhe Udhëzimit Administrativ nr. 06/2018 për Standardet Minimale të Konsultimit Publik në Komuna të jetë masë obligative për zbatim nga Qeveria e Kosovës dhe ZKM/DIE në veçanti, dhe të theksohet obligimi për zbatimin e tyre edhe në kuadër të objektivave për zbatim në PKZMSA 2022-2026, pasi që edhe nga monitorimi që u është bërë dokumenteve, ato nuk po zbatohen si duhet. Më konkretisht, më poshtë janë të përfshira komentet e veçanta.</w:t>
            </w:r>
          </w:p>
        </w:tc>
      </w:tr>
      <w:tr w:rsidR="006E3468" w:rsidRPr="00180A8B" w:rsidTr="00AB5F3C">
        <w:trPr>
          <w:trHeight w:val="20"/>
        </w:trPr>
        <w:tc>
          <w:tcPr>
            <w:tcW w:w="14710" w:type="dxa"/>
            <w:gridSpan w:val="5"/>
            <w:shd w:val="clear" w:color="auto" w:fill="BDD6EE" w:themeFill="accent1" w:themeFillTint="66"/>
          </w:tcPr>
          <w:p w:rsidR="006E3468" w:rsidRPr="00180A8B" w:rsidRDefault="006E3468" w:rsidP="00ED122E">
            <w:pPr>
              <w:spacing w:after="120" w:line="240" w:lineRule="auto"/>
              <w:rPr>
                <w:rFonts w:ascii="Times New Roman" w:hAnsi="Times New Roman" w:cs="Times New Roman"/>
                <w:b/>
              </w:rPr>
            </w:pPr>
            <w:r w:rsidRPr="00180A8B">
              <w:rPr>
                <w:rFonts w:ascii="Times New Roman" w:hAnsi="Times New Roman" w:cs="Times New Roman"/>
                <w:b/>
              </w:rPr>
              <w:t>Komentet:</w:t>
            </w:r>
          </w:p>
          <w:p w:rsidR="006E3468" w:rsidRPr="00180A8B" w:rsidRDefault="00CF2782" w:rsidP="009406EB">
            <w:pPr>
              <w:spacing w:before="120" w:after="0" w:line="240" w:lineRule="auto"/>
              <w:rPr>
                <w:rFonts w:ascii="Times New Roman" w:hAnsi="Times New Roman" w:cs="Times New Roman"/>
              </w:rPr>
            </w:pPr>
            <w:r w:rsidRPr="00180A8B">
              <w:rPr>
                <w:rFonts w:ascii="Times New Roman" w:hAnsi="Times New Roman" w:cs="Times New Roman"/>
              </w:rPr>
              <w:t>Janë</w:t>
            </w:r>
            <w:r w:rsidR="006E3468" w:rsidRPr="00180A8B">
              <w:rPr>
                <w:rFonts w:ascii="Times New Roman" w:hAnsi="Times New Roman" w:cs="Times New Roman"/>
              </w:rPr>
              <w:t xml:space="preserve"> adresuar rekomandimet nga komentet e përgjithshme te KCSF-</w:t>
            </w:r>
            <w:r w:rsidRPr="00180A8B">
              <w:rPr>
                <w:rFonts w:ascii="Times New Roman" w:hAnsi="Times New Roman" w:cs="Times New Roman"/>
              </w:rPr>
              <w:t>së</w:t>
            </w:r>
            <w:r w:rsidR="006E3468" w:rsidRPr="00180A8B">
              <w:rPr>
                <w:rFonts w:ascii="Times New Roman" w:hAnsi="Times New Roman" w:cs="Times New Roman"/>
              </w:rPr>
              <w:t xml:space="preserve">, faqe 23 </w:t>
            </w:r>
            <w:r w:rsidRPr="00180A8B">
              <w:rPr>
                <w:rFonts w:ascii="Times New Roman" w:hAnsi="Times New Roman" w:cs="Times New Roman"/>
              </w:rPr>
              <w:t>të</w:t>
            </w:r>
            <w:r w:rsidR="006E3468" w:rsidRPr="00180A8B">
              <w:rPr>
                <w:rFonts w:ascii="Times New Roman" w:hAnsi="Times New Roman" w:cs="Times New Roman"/>
              </w:rPr>
              <w:t xml:space="preserve"> Programit </w:t>
            </w:r>
            <w:r w:rsidRPr="00180A8B">
              <w:rPr>
                <w:rFonts w:ascii="Times New Roman" w:hAnsi="Times New Roman" w:cs="Times New Roman"/>
              </w:rPr>
              <w:t>të</w:t>
            </w:r>
            <w:r w:rsidR="006E3468" w:rsidRPr="00180A8B">
              <w:rPr>
                <w:rFonts w:ascii="Times New Roman" w:hAnsi="Times New Roman" w:cs="Times New Roman"/>
              </w:rPr>
              <w:t xml:space="preserve"> miratuar nga Qeveria.</w:t>
            </w:r>
          </w:p>
        </w:tc>
      </w:tr>
      <w:tr w:rsidR="00CF398E" w:rsidRPr="00180A8B" w:rsidTr="00FB010B">
        <w:trPr>
          <w:trHeight w:val="75"/>
        </w:trPr>
        <w:tc>
          <w:tcPr>
            <w:tcW w:w="1665" w:type="dxa"/>
            <w:shd w:val="clear" w:color="auto" w:fill="BDD6EE" w:themeFill="accent1" w:themeFillTint="66"/>
          </w:tcPr>
          <w:p w:rsidR="00CF398E" w:rsidRPr="00180A8B" w:rsidRDefault="00CF398E" w:rsidP="00ED122E">
            <w:pPr>
              <w:spacing w:after="0" w:line="240" w:lineRule="auto"/>
              <w:jc w:val="center"/>
              <w:rPr>
                <w:rFonts w:ascii="Times New Roman" w:hAnsi="Times New Roman" w:cs="Times New Roman"/>
                <w:b/>
              </w:rPr>
            </w:pPr>
            <w:r w:rsidRPr="00180A8B">
              <w:rPr>
                <w:rFonts w:ascii="Times New Roman" w:hAnsi="Times New Roman" w:cs="Times New Roman"/>
                <w:b/>
              </w:rPr>
              <w:t>Blloqet e PKZMSA-së</w:t>
            </w:r>
          </w:p>
        </w:tc>
        <w:tc>
          <w:tcPr>
            <w:tcW w:w="4950" w:type="dxa"/>
            <w:shd w:val="clear" w:color="auto" w:fill="BDD6EE" w:themeFill="accent1" w:themeFillTint="66"/>
          </w:tcPr>
          <w:p w:rsidR="00CF398E" w:rsidRPr="00180A8B" w:rsidRDefault="00CF398E" w:rsidP="00ED122E">
            <w:pPr>
              <w:tabs>
                <w:tab w:val="center" w:pos="1737"/>
              </w:tabs>
              <w:spacing w:after="0" w:line="240" w:lineRule="auto"/>
              <w:jc w:val="center"/>
              <w:rPr>
                <w:rFonts w:ascii="Times New Roman" w:hAnsi="Times New Roman" w:cs="Times New Roman"/>
                <w:b/>
              </w:rPr>
            </w:pPr>
            <w:r w:rsidRPr="00180A8B">
              <w:rPr>
                <w:rFonts w:ascii="Times New Roman" w:hAnsi="Times New Roman" w:cs="Times New Roman"/>
                <w:b/>
              </w:rPr>
              <w:t>Komentet</w:t>
            </w:r>
          </w:p>
        </w:tc>
        <w:tc>
          <w:tcPr>
            <w:tcW w:w="1260" w:type="dxa"/>
            <w:shd w:val="clear" w:color="auto" w:fill="BDD6EE" w:themeFill="accent1" w:themeFillTint="66"/>
          </w:tcPr>
          <w:p w:rsidR="00CF398E" w:rsidRPr="00180A8B" w:rsidRDefault="00CF398E" w:rsidP="00ED122E">
            <w:pPr>
              <w:tabs>
                <w:tab w:val="center" w:pos="1737"/>
              </w:tabs>
              <w:spacing w:after="0" w:line="240" w:lineRule="auto"/>
              <w:jc w:val="center"/>
              <w:rPr>
                <w:rFonts w:ascii="Times New Roman" w:hAnsi="Times New Roman" w:cs="Times New Roman"/>
                <w:b/>
              </w:rPr>
            </w:pPr>
            <w:r w:rsidRPr="00180A8B">
              <w:rPr>
                <w:rFonts w:ascii="Times New Roman" w:hAnsi="Times New Roman" w:cs="Times New Roman"/>
                <w:b/>
              </w:rPr>
              <w:t>Kush ka komentuar</w:t>
            </w:r>
          </w:p>
        </w:tc>
        <w:tc>
          <w:tcPr>
            <w:tcW w:w="1260" w:type="dxa"/>
            <w:shd w:val="clear" w:color="auto" w:fill="BDD6EE" w:themeFill="accent1" w:themeFillTint="66"/>
          </w:tcPr>
          <w:p w:rsidR="00CF398E" w:rsidRPr="00180A8B" w:rsidRDefault="00CF398E" w:rsidP="00ED122E">
            <w:pPr>
              <w:tabs>
                <w:tab w:val="center" w:pos="1737"/>
              </w:tabs>
              <w:spacing w:after="0" w:line="240" w:lineRule="auto"/>
              <w:jc w:val="center"/>
              <w:rPr>
                <w:rFonts w:ascii="Times New Roman" w:hAnsi="Times New Roman" w:cs="Times New Roman"/>
                <w:b/>
              </w:rPr>
            </w:pPr>
            <w:r w:rsidRPr="00180A8B">
              <w:rPr>
                <w:rFonts w:ascii="Times New Roman" w:hAnsi="Times New Roman" w:cs="Times New Roman"/>
                <w:b/>
              </w:rPr>
              <w:t>Statusi i komenteve</w:t>
            </w:r>
          </w:p>
        </w:tc>
        <w:tc>
          <w:tcPr>
            <w:tcW w:w="5575" w:type="dxa"/>
            <w:shd w:val="clear" w:color="auto" w:fill="BDD6EE" w:themeFill="accent1" w:themeFillTint="66"/>
          </w:tcPr>
          <w:p w:rsidR="00CF398E" w:rsidRPr="00180A8B" w:rsidRDefault="00CF398E" w:rsidP="00ED122E">
            <w:pPr>
              <w:tabs>
                <w:tab w:val="center" w:pos="1737"/>
              </w:tabs>
              <w:spacing w:after="0" w:line="240" w:lineRule="auto"/>
              <w:jc w:val="center"/>
              <w:rPr>
                <w:rFonts w:ascii="Times New Roman" w:hAnsi="Times New Roman" w:cs="Times New Roman"/>
                <w:b/>
              </w:rPr>
            </w:pPr>
            <w:r w:rsidRPr="00180A8B">
              <w:rPr>
                <w:rFonts w:ascii="Times New Roman" w:hAnsi="Times New Roman" w:cs="Times New Roman"/>
                <w:b/>
              </w:rPr>
              <w:t>Komentet</w:t>
            </w:r>
          </w:p>
        </w:tc>
      </w:tr>
      <w:tr w:rsidR="009406EB" w:rsidRPr="00180A8B" w:rsidTr="00FB010B">
        <w:trPr>
          <w:trHeight w:val="75"/>
        </w:trPr>
        <w:tc>
          <w:tcPr>
            <w:tcW w:w="1665" w:type="dxa"/>
            <w:vMerge w:val="restart"/>
            <w:shd w:val="clear" w:color="auto" w:fill="BDD6EE" w:themeFill="accent1" w:themeFillTint="66"/>
          </w:tcPr>
          <w:p w:rsidR="009406EB" w:rsidRPr="00180A8B" w:rsidRDefault="009406EB" w:rsidP="009406EB">
            <w:pPr>
              <w:spacing w:after="0" w:line="240" w:lineRule="auto"/>
              <w:rPr>
                <w:rFonts w:ascii="Times New Roman" w:hAnsi="Times New Roman" w:cs="Times New Roman"/>
                <w:b/>
              </w:rPr>
            </w:pPr>
            <w:r w:rsidRPr="00180A8B">
              <w:rPr>
                <w:rFonts w:ascii="Times New Roman" w:hAnsi="Times New Roman" w:cs="Times New Roman"/>
                <w:b/>
                <w:bCs/>
              </w:rPr>
              <w:t>Blloku I: Kriteret politike</w:t>
            </w:r>
          </w:p>
        </w:tc>
        <w:tc>
          <w:tcPr>
            <w:tcW w:w="4950" w:type="dxa"/>
            <w:shd w:val="clear" w:color="auto" w:fill="BDD6EE" w:themeFill="accent1" w:themeFillTint="66"/>
          </w:tcPr>
          <w:p w:rsidR="009406EB" w:rsidRPr="00180A8B" w:rsidRDefault="009406EB" w:rsidP="00ED122E">
            <w:pPr>
              <w:spacing w:after="0" w:line="240" w:lineRule="auto"/>
              <w:rPr>
                <w:rFonts w:ascii="Times New Roman" w:hAnsi="Times New Roman" w:cs="Times New Roman"/>
              </w:rPr>
            </w:pPr>
            <w:r w:rsidRPr="00180A8B">
              <w:rPr>
                <w:rFonts w:ascii="Times New Roman" w:hAnsi="Times New Roman" w:cs="Times New Roman"/>
                <w:b/>
                <w:u w:val="single"/>
              </w:rPr>
              <w:t>Roli i Organizatave të Shoqërisë Civile në zbatimin e PKZMSA 2022-2026 dhe zhvillimi i tyre</w:t>
            </w:r>
          </w:p>
          <w:p w:rsidR="009406EB" w:rsidRPr="00180A8B" w:rsidRDefault="009406EB" w:rsidP="00ED122E">
            <w:pPr>
              <w:spacing w:before="120" w:after="0" w:line="240" w:lineRule="auto"/>
              <w:rPr>
                <w:rFonts w:ascii="Times New Roman" w:hAnsi="Times New Roman" w:cs="Times New Roman"/>
                <w:i/>
              </w:rPr>
            </w:pPr>
            <w:r w:rsidRPr="00180A8B">
              <w:rPr>
                <w:rFonts w:ascii="Times New Roman" w:hAnsi="Times New Roman" w:cs="Times New Roman"/>
              </w:rPr>
              <w:t xml:space="preserve">Duke qenë se roli i organizatave të shoqërisë civile është i njohur dhe pjesë përbërëse e MSA-së dhe përkushtimi për zhvillim të vazhdueshëm të shoqërisë civile është i shprehur edhe në preambulën e MSA-së, përfshirja e tyre dhe palëve të tjera të interesuara në zbatimin e reformave të planifikuara në PKZMSA duhet gjithsesi të jetë pjesë integrale e saj. Mekanizmat dhe kërkesat ligjore për përfshirjen e tyre veçse janë të përcaktuara shumë qartë në </w:t>
            </w:r>
            <w:r w:rsidRPr="00180A8B">
              <w:rPr>
                <w:rFonts w:ascii="Times New Roman" w:hAnsi="Times New Roman" w:cs="Times New Roman"/>
                <w:b/>
              </w:rPr>
              <w:t xml:space="preserve">Rregulloren 05/2016 për Standardet Minimale për </w:t>
            </w:r>
            <w:r w:rsidRPr="00180A8B">
              <w:rPr>
                <w:rFonts w:ascii="Times New Roman" w:hAnsi="Times New Roman" w:cs="Times New Roman"/>
                <w:b/>
              </w:rPr>
              <w:lastRenderedPageBreak/>
              <w:t>konsultim Publik</w:t>
            </w:r>
            <w:r w:rsidRPr="00180A8B">
              <w:rPr>
                <w:rFonts w:ascii="Times New Roman" w:hAnsi="Times New Roman" w:cs="Times New Roman"/>
              </w:rPr>
              <w:t xml:space="preserve">, </w:t>
            </w:r>
            <w:r w:rsidRPr="00180A8B">
              <w:rPr>
                <w:rFonts w:ascii="Times New Roman" w:hAnsi="Times New Roman" w:cs="Times New Roman"/>
                <w:b/>
              </w:rPr>
              <w:t>Udhëzuesin për konsultime me organizatat e shoqërisë civile dhe palët e tjera të interesuara në kuadër të Organeve të Stabilizim-Asociimit BE &amp;ndash; Kosovë</w:t>
            </w:r>
            <w:r w:rsidRPr="00180A8B">
              <w:rPr>
                <w:rFonts w:ascii="Times New Roman" w:hAnsi="Times New Roman" w:cs="Times New Roman"/>
              </w:rPr>
              <w:t xml:space="preserve">, dhe </w:t>
            </w:r>
            <w:r w:rsidRPr="00180A8B">
              <w:rPr>
                <w:rFonts w:ascii="Times New Roman" w:hAnsi="Times New Roman" w:cs="Times New Roman"/>
                <w:b/>
              </w:rPr>
              <w:t>Udhëzimin Administrativ nr. 06/2018 për Standardet Minimale të Konsultimit Publik në Komuna</w:t>
            </w:r>
            <w:r w:rsidRPr="00180A8B">
              <w:rPr>
                <w:rFonts w:ascii="Times New Roman" w:hAnsi="Times New Roman" w:cs="Times New Roman"/>
              </w:rPr>
              <w:t xml:space="preserve">. Obligimi për zbatimin e tyre duke </w:t>
            </w:r>
            <w:r w:rsidRPr="00180A8B">
              <w:rPr>
                <w:rFonts w:ascii="Times New Roman" w:hAnsi="Times New Roman" w:cs="Times New Roman"/>
                <w:i/>
              </w:rPr>
              <w:t>ndërmarrë veprime konkrete, të vazhdueshme dhe të qëndrueshme për të mundësuar përfshirjen e OShC-ve dhe palëve të tjera i përket institucioneve publike, pra Qeverisë në përgjithësi, dhe kjo gjë duhet të bëhet e qartë edhe në PKZMSA.</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lastRenderedPageBreak/>
              <w:t>KCSF</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Pranohet pjesërisht</w:t>
            </w:r>
          </w:p>
        </w:tc>
        <w:tc>
          <w:tcPr>
            <w:tcW w:w="5575"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Pjesa e komentit që është pranuar është inkorporuar në fq. 23 të Programit të miratuar nga Kuvendi. Paragrafi ku është inkorporuar komenti është si në vijim:</w:t>
            </w:r>
          </w:p>
          <w:p w:rsidR="009406EB" w:rsidRPr="00180A8B" w:rsidRDefault="009406EB" w:rsidP="00ED122E">
            <w:pPr>
              <w:tabs>
                <w:tab w:val="center" w:pos="1737"/>
              </w:tabs>
              <w:spacing w:before="120" w:after="0" w:line="240" w:lineRule="auto"/>
              <w:rPr>
                <w:rFonts w:ascii="Times New Roman" w:eastAsia="Book Antiqua" w:hAnsi="Times New Roman" w:cs="Times New Roman"/>
                <w:color w:val="000000" w:themeColor="text1"/>
              </w:rPr>
            </w:pPr>
            <w:r w:rsidRPr="00180A8B">
              <w:rPr>
                <w:rFonts w:ascii="Times New Roman" w:eastAsia="Book Antiqua" w:hAnsi="Times New Roman" w:cs="Times New Roman"/>
                <w:color w:val="000000" w:themeColor="text1"/>
              </w:rPr>
              <w:t xml:space="preserve">“Rregullorja nr. 05/2016 mbi </w:t>
            </w:r>
            <w:r w:rsidRPr="00180A8B">
              <w:rPr>
                <w:rFonts w:ascii="Times New Roman" w:eastAsia="Book Antiqua" w:hAnsi="Times New Roman" w:cs="Times New Roman"/>
                <w:i/>
                <w:color w:val="000000" w:themeColor="text1"/>
              </w:rPr>
              <w:t>Standardet Minimale për konsultimet Publike</w:t>
            </w:r>
            <w:r w:rsidRPr="00180A8B">
              <w:rPr>
                <w:rFonts w:ascii="Times New Roman" w:eastAsia="Book Antiqua" w:hAnsi="Times New Roman" w:cs="Times New Roman"/>
                <w:color w:val="000000" w:themeColor="text1"/>
              </w:rPr>
              <w:t xml:space="preserve"> është miratuar në prill 2016 dhe ka filluar së zbatuari nga janar i 2017. Zyra për Qeverisje të Mirë (ZQM/ZKM) është organi përgjegjës për koordinimin e konsultimeve që kryhen përmes </w:t>
            </w:r>
            <w:r w:rsidRPr="00180A8B">
              <w:rPr>
                <w:rFonts w:ascii="Times New Roman" w:eastAsia="Book Antiqua" w:hAnsi="Times New Roman" w:cs="Times New Roman"/>
                <w:i/>
                <w:color w:val="000000" w:themeColor="text1"/>
              </w:rPr>
              <w:t>Platformës Online për Konsultime me</w:t>
            </w:r>
            <w:r w:rsidRPr="00180A8B">
              <w:rPr>
                <w:rFonts w:ascii="Times New Roman" w:eastAsia="Book Antiqua" w:hAnsi="Times New Roman" w:cs="Times New Roman"/>
                <w:color w:val="000000" w:themeColor="text1"/>
              </w:rPr>
              <w:t xml:space="preserve"> </w:t>
            </w:r>
            <w:r w:rsidRPr="00180A8B">
              <w:rPr>
                <w:rFonts w:ascii="Times New Roman" w:eastAsia="Book Antiqua" w:hAnsi="Times New Roman" w:cs="Times New Roman"/>
                <w:i/>
                <w:color w:val="000000" w:themeColor="text1"/>
              </w:rPr>
              <w:t xml:space="preserve">Publikun </w:t>
            </w:r>
            <w:r w:rsidRPr="00180A8B">
              <w:rPr>
                <w:rFonts w:ascii="Times New Roman" w:eastAsia="Book Antiqua" w:hAnsi="Times New Roman" w:cs="Times New Roman"/>
                <w:color w:val="000000" w:themeColor="text1"/>
              </w:rPr>
              <w:t>dhe në forma të tjera, ndërsa Qeveria është e përkushtuar për zbatimin e kësaj rregulloreje. Rregullorja gjithashtu parasheh forma e teknika të tjera të konsultimit</w:t>
            </w:r>
            <w:r w:rsidRPr="00180A8B">
              <w:rPr>
                <w:rFonts w:ascii="Times New Roman" w:eastAsia="Book Antiqua" w:hAnsi="Times New Roman" w:cs="Times New Roman"/>
                <w:i/>
                <w:color w:val="000000" w:themeColor="text1"/>
              </w:rPr>
              <w:t xml:space="preserve"> </w:t>
            </w:r>
            <w:r w:rsidRPr="00180A8B">
              <w:rPr>
                <w:rFonts w:ascii="Times New Roman" w:eastAsia="Book Antiqua" w:hAnsi="Times New Roman" w:cs="Times New Roman"/>
                <w:color w:val="000000" w:themeColor="text1"/>
              </w:rPr>
              <w:t xml:space="preserve">publik, për të siguruar përfshirjen e grupeve të interesit në politikë-bërje. Ato duhet të jenë të </w:t>
            </w:r>
            <w:r w:rsidRPr="00180A8B">
              <w:rPr>
                <w:rFonts w:ascii="Times New Roman" w:eastAsia="Book Antiqua" w:hAnsi="Times New Roman" w:cs="Times New Roman"/>
                <w:color w:val="000000" w:themeColor="text1"/>
              </w:rPr>
              <w:lastRenderedPageBreak/>
              <w:t xml:space="preserve">përshtatshme dhe të qasshme për qytetarët dhe qytetaret e Kosovës varësisht prej temës që trajtohet dhe specifikave e ndjeshmërisë. Përveç këtij mekanizmi, nga viti 2018 funksionon edhe mekanizmi konsultues ndërmjet Qeverisë dhe OShC-ve e palëve të tjera të interesuara në kuadër të strukturave të përbashkëta institucionale BE-Kosovë të themeluara me MSA. I rregulluar sipas udhëzuesit përkatës, funksionimi i këtij mekanizmi është detyrë e zyrave për integrim evropian në Zyrën e Kryeministrit. Ky mekanizëm ofron forum të përshtatshëm që kontribuon në formësimin e politikë-bërjes dhe zbatimin e MSA-së, dhe si i tillë duhet të shfrytëzohet me mirë nga Qeveria dhe shoqëria civile. </w:t>
            </w:r>
          </w:p>
        </w:tc>
      </w:tr>
      <w:tr w:rsidR="009406EB" w:rsidRPr="00180A8B" w:rsidTr="00CC0A62">
        <w:trPr>
          <w:trHeight w:val="20"/>
        </w:trPr>
        <w:tc>
          <w:tcPr>
            <w:tcW w:w="1665" w:type="dxa"/>
            <w:vMerge/>
            <w:shd w:val="clear" w:color="auto" w:fill="BDD6EE" w:themeFill="accent1" w:themeFillTint="66"/>
          </w:tcPr>
          <w:p w:rsidR="009406EB" w:rsidRPr="00180A8B" w:rsidRDefault="009406EB" w:rsidP="00ED122E">
            <w:pPr>
              <w:spacing w:after="0" w:line="240" w:lineRule="auto"/>
              <w:rPr>
                <w:rFonts w:ascii="Times New Roman" w:hAnsi="Times New Roman" w:cs="Times New Roman"/>
              </w:rPr>
            </w:pPr>
          </w:p>
        </w:tc>
        <w:tc>
          <w:tcPr>
            <w:tcW w:w="4950" w:type="dxa"/>
            <w:shd w:val="clear" w:color="auto" w:fill="BDD6EE" w:themeFill="accent1" w:themeFillTint="66"/>
          </w:tcPr>
          <w:p w:rsidR="009406EB" w:rsidRPr="00180A8B" w:rsidRDefault="009406EB" w:rsidP="00ED122E">
            <w:pPr>
              <w:spacing w:after="0" w:line="240" w:lineRule="auto"/>
              <w:rPr>
                <w:rFonts w:ascii="Times New Roman" w:hAnsi="Times New Roman" w:cs="Times New Roman"/>
              </w:rPr>
            </w:pPr>
            <w:r w:rsidRPr="00180A8B">
              <w:rPr>
                <w:rFonts w:ascii="Times New Roman" w:hAnsi="Times New Roman" w:cs="Times New Roman"/>
                <w:b/>
                <w:u w:val="single"/>
              </w:rPr>
              <w:t>Pjesëmarrja e OShC-ve në shqyrtimin e projektligjeve në Kuvend</w:t>
            </w:r>
          </w:p>
          <w:p w:rsidR="009406EB" w:rsidRPr="00180A8B" w:rsidRDefault="009406EB" w:rsidP="00ED122E">
            <w:pPr>
              <w:spacing w:after="120" w:line="240" w:lineRule="auto"/>
              <w:rPr>
                <w:rFonts w:ascii="Times New Roman" w:hAnsi="Times New Roman" w:cs="Times New Roman"/>
              </w:rPr>
            </w:pPr>
            <w:r w:rsidRPr="00180A8B">
              <w:rPr>
                <w:rFonts w:ascii="Times New Roman" w:hAnsi="Times New Roman" w:cs="Times New Roman"/>
              </w:rPr>
              <w:t>Përfshirja e shoqërisë civile në punën e Kuvendit vazhdon të mbetet problematike dhe është e limituar kryesisht në organizimin e ngjarjeve të ndryshme si panaire dhe shënjim të ditëve të caktuara, etj., pra nuk ekziston ndonjë mundësi reale e përfshirjes së publikut në punën e Kuvendit, me theks të veçantë në mundësinë e pjesëmarrjes publike në procesin e shqyrtimit të projektligjeve që janë në procedurë në Kuvend.</w:t>
            </w:r>
          </w:p>
          <w:p w:rsidR="009406EB" w:rsidRPr="00180A8B" w:rsidRDefault="009406EB" w:rsidP="00ED122E">
            <w:pPr>
              <w:spacing w:after="120" w:line="240" w:lineRule="auto"/>
              <w:rPr>
                <w:rFonts w:ascii="Times New Roman" w:hAnsi="Times New Roman" w:cs="Times New Roman"/>
              </w:rPr>
            </w:pPr>
            <w:r w:rsidRPr="00180A8B">
              <w:rPr>
                <w:rFonts w:ascii="Times New Roman" w:hAnsi="Times New Roman" w:cs="Times New Roman"/>
              </w:rPr>
              <w:t>Sa për qartësim të komentit, në draft PKZMSA-në, tek pjesa e Kuvendit përmendet vetëm bashkëpunimi dhe përfshirja e OShC-ve përmes Forumit për Transparencë që rrjedh nga Deklarata për Transparencë Parlamentare, e që në bazë të fushëveprimit të tij është formë tjetër e bashkëpunimit dhe që nuk e trajton e as mundëson pjesëmarrjen e OShC-ve në shqyrtimin e projektligjeve që janë në procedurë në Kuvend.</w:t>
            </w:r>
          </w:p>
          <w:p w:rsidR="009406EB" w:rsidRPr="00180A8B" w:rsidRDefault="009406EB" w:rsidP="00ED122E">
            <w:pPr>
              <w:spacing w:after="120" w:line="240" w:lineRule="auto"/>
              <w:rPr>
                <w:rFonts w:ascii="Times New Roman" w:hAnsi="Times New Roman" w:cs="Times New Roman"/>
              </w:rPr>
            </w:pPr>
            <w:r w:rsidRPr="00180A8B">
              <w:rPr>
                <w:rFonts w:ascii="Times New Roman" w:hAnsi="Times New Roman" w:cs="Times New Roman"/>
              </w:rPr>
              <w:t>Për këtë arsye, e përsëritur për vite me radhë, KCSF rekomandon që në kapitullin 1.1.1 Parlamenti</w:t>
            </w:r>
            <w:r w:rsidRPr="00180A8B">
              <w:rPr>
                <w:rFonts w:ascii="Times New Roman" w:hAnsi="Times New Roman" w:cs="Times New Roman"/>
                <w:i/>
              </w:rPr>
              <w:t xml:space="preserve">, të </w:t>
            </w:r>
            <w:r w:rsidRPr="00180A8B">
              <w:rPr>
                <w:rFonts w:ascii="Times New Roman" w:hAnsi="Times New Roman" w:cs="Times New Roman"/>
                <w:i/>
              </w:rPr>
              <w:lastRenderedPageBreak/>
              <w:t>theksohet qartë nevoja dhe domosdoshmëria për të pasur një përfshirje të vazhdueshme formale, të strukturuar, dhe të bazuar në kritere obligative në mes të Kuvendit të Kosovës dhe shoqërisë civile për procesin e hartimit të ligjeve; si dhe përkushtimi i Kuvendit për të qenë sa më të hapur me Organizatat e Shoqërisë Civile duke u mundësuar atyre komunikim transparent, dhe pjesëmarrje të mirëfilltë e përmbajtësore në procesin legjislativ.</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lastRenderedPageBreak/>
              <w:t>KCSF</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Pranohet</w:t>
            </w:r>
          </w:p>
        </w:tc>
        <w:tc>
          <w:tcPr>
            <w:tcW w:w="5575"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Pjesa e komentit që është pranuar është inkorporuar në fq. 16 të Programit të miratuar nga Kuvendi, si në vijim:</w:t>
            </w:r>
          </w:p>
          <w:p w:rsidR="009406EB" w:rsidRPr="00180A8B" w:rsidRDefault="009406EB" w:rsidP="00ED122E">
            <w:pPr>
              <w:tabs>
                <w:tab w:val="center" w:pos="1737"/>
              </w:tabs>
              <w:spacing w:before="120" w:after="0" w:line="240" w:lineRule="auto"/>
              <w:rPr>
                <w:rFonts w:ascii="Times New Roman" w:hAnsi="Times New Roman" w:cs="Times New Roman"/>
                <w:bCs/>
              </w:rPr>
            </w:pPr>
            <w:r w:rsidRPr="00180A8B">
              <w:rPr>
                <w:rFonts w:ascii="Times New Roman" w:hAnsi="Times New Roman" w:cs="Times New Roman"/>
                <w:bCs/>
              </w:rPr>
              <w:t>“</w:t>
            </w:r>
            <w:r w:rsidRPr="00180A8B">
              <w:rPr>
                <w:rFonts w:ascii="Times New Roman" w:eastAsia="Book Antiqua" w:hAnsi="Times New Roman" w:cs="Times New Roman"/>
                <w:color w:val="000000" w:themeColor="text1"/>
              </w:rPr>
              <w:t xml:space="preserve">Zbatimi i MSA-së kërkon </w:t>
            </w:r>
            <w:r w:rsidRPr="00180A8B">
              <w:rPr>
                <w:rFonts w:ascii="Times New Roman" w:hAnsi="Times New Roman" w:cs="Times New Roman"/>
                <w:color w:val="000000" w:themeColor="text1"/>
              </w:rPr>
              <w:t>përfshirje të vazhdueshme formale, të strukturuar, dhe të bazuar në kritere obligative të shoqërisë civile për hartimin e ligjeve, dhe Kuvendi është i përkushtuar që të mbetet i hapur për bashkëpunim me OShC-të, duke u mundësuar atyre komunikim transparent dhe pjesëmarrje të mirëfilltë e përmbajtjesore në procesin legjislativ.</w:t>
            </w:r>
            <w:r w:rsidRPr="00180A8B">
              <w:rPr>
                <w:rFonts w:ascii="Times New Roman" w:hAnsi="Times New Roman" w:cs="Times New Roman"/>
                <w:bCs/>
              </w:rPr>
              <w:t>”</w:t>
            </w:r>
          </w:p>
          <w:p w:rsidR="009406EB" w:rsidRPr="00180A8B" w:rsidRDefault="009406EB" w:rsidP="00ED122E">
            <w:pPr>
              <w:tabs>
                <w:tab w:val="center" w:pos="1737"/>
              </w:tabs>
              <w:spacing w:after="0" w:line="240" w:lineRule="auto"/>
              <w:rPr>
                <w:rFonts w:ascii="Times New Roman" w:hAnsi="Times New Roman" w:cs="Times New Roman"/>
                <w:bCs/>
              </w:rPr>
            </w:pPr>
          </w:p>
        </w:tc>
      </w:tr>
      <w:tr w:rsidR="009406EB" w:rsidRPr="00180A8B" w:rsidTr="00B15497">
        <w:trPr>
          <w:trHeight w:val="20"/>
        </w:trPr>
        <w:tc>
          <w:tcPr>
            <w:tcW w:w="1665" w:type="dxa"/>
            <w:vMerge/>
            <w:shd w:val="clear" w:color="auto" w:fill="BDD6EE" w:themeFill="accent1" w:themeFillTint="66"/>
          </w:tcPr>
          <w:p w:rsidR="009406EB" w:rsidRPr="00180A8B" w:rsidRDefault="009406EB" w:rsidP="00ED122E">
            <w:pPr>
              <w:spacing w:after="0" w:line="240" w:lineRule="auto"/>
              <w:rPr>
                <w:rFonts w:ascii="Times New Roman" w:hAnsi="Times New Roman" w:cs="Times New Roman"/>
                <w:bCs/>
              </w:rPr>
            </w:pPr>
          </w:p>
        </w:tc>
        <w:tc>
          <w:tcPr>
            <w:tcW w:w="4950" w:type="dxa"/>
            <w:shd w:val="clear" w:color="auto" w:fill="BDD6EE" w:themeFill="accent1" w:themeFillTint="66"/>
          </w:tcPr>
          <w:p w:rsidR="009406EB" w:rsidRPr="00180A8B" w:rsidRDefault="009406EB" w:rsidP="00ED122E">
            <w:pPr>
              <w:spacing w:after="0" w:line="240" w:lineRule="auto"/>
              <w:rPr>
                <w:rFonts w:ascii="Times New Roman" w:hAnsi="Times New Roman" w:cs="Times New Roman"/>
              </w:rPr>
            </w:pPr>
            <w:r w:rsidRPr="00180A8B">
              <w:rPr>
                <w:rFonts w:ascii="Times New Roman" w:hAnsi="Times New Roman" w:cs="Times New Roman"/>
                <w:b/>
                <w:u w:val="single"/>
              </w:rPr>
              <w:t>Të trajtohet obligimi për konsultim publik nga Qeveria e Kosovës, sipas Rregullores 05/2016 për standardet minimale për procesin e konsultimit publik</w:t>
            </w:r>
          </w:p>
          <w:p w:rsidR="009406EB" w:rsidRPr="00180A8B" w:rsidRDefault="009406EB" w:rsidP="00ED122E">
            <w:pPr>
              <w:spacing w:before="120" w:after="0" w:line="240" w:lineRule="auto"/>
              <w:rPr>
                <w:rFonts w:ascii="Times New Roman" w:hAnsi="Times New Roman" w:cs="Times New Roman"/>
              </w:rPr>
            </w:pPr>
            <w:r w:rsidRPr="00180A8B">
              <w:rPr>
                <w:rFonts w:ascii="Times New Roman" w:hAnsi="Times New Roman" w:cs="Times New Roman"/>
              </w:rPr>
              <w:t>Rregulloja 05/2016 për standardet minimale për procesin e konsultimit publik përcakton listën e obligimeve për Qeverinë që duhet të ndërmerren gjatë hartimit të projekt dokumenteve, në mënyrë që procesi politikë bërës të konsiderohet në përputhje me Rregulloren. E njëjta duhet të zbatohet edhe për të gjitha dokumentet në kuadër të MSA-së të cilat prodhohen nga Qeveria. Prandaj, në draft PKZMSA 2022-2026 duhet të përfshihet edhe obligimi i Qeverisë që të zbatojë Rregulloren, kryesisht përmes rritjes së rigorozitetit për zbatim të Rregullores në tërësi, ngritjes së kapaciteteve të brendshme për zbatim të Rregullores, adresimit të çështjeve teknike për funksionim të platformës dhe rritjes së sigurisë së kësaj platforme, në përgjithësi; dhe informimin e mirëfilltë e të vazhdueshëm të publikut për mundësinë e pjesëmarrjes në hartim të politikave edhe përmes Platformës Online për konsultime publike.</w:t>
            </w:r>
          </w:p>
          <w:p w:rsidR="009406EB" w:rsidRPr="00180A8B" w:rsidRDefault="009406EB" w:rsidP="00ED122E">
            <w:pPr>
              <w:spacing w:before="120" w:after="0" w:line="240" w:lineRule="auto"/>
              <w:rPr>
                <w:rFonts w:ascii="Times New Roman" w:hAnsi="Times New Roman" w:cs="Times New Roman"/>
              </w:rPr>
            </w:pPr>
            <w:r w:rsidRPr="00180A8B">
              <w:rPr>
                <w:rFonts w:ascii="Times New Roman" w:hAnsi="Times New Roman" w:cs="Times New Roman"/>
              </w:rPr>
              <w:t xml:space="preserve">Për këtë arsye, KCSF rekomandon që në kapitullin 1.1.2 Administrata </w:t>
            </w:r>
            <w:r w:rsidRPr="00180A8B">
              <w:rPr>
                <w:rFonts w:ascii="Times New Roman" w:hAnsi="Times New Roman" w:cs="Times New Roman"/>
                <w:i/>
              </w:rPr>
              <w:t xml:space="preserve">të theksohet qartë përkushtimi për </w:t>
            </w:r>
            <w:r w:rsidRPr="00180A8B">
              <w:rPr>
                <w:rFonts w:ascii="Times New Roman" w:hAnsi="Times New Roman" w:cs="Times New Roman"/>
                <w:i/>
              </w:rPr>
              <w:lastRenderedPageBreak/>
              <w:t>zbatim të plotë të Rregullores 05/2016 për standardet minimale për procesin e konsultimit publik.</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lastRenderedPageBreak/>
              <w:t>KCSF</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Pranohet pjesërisht</w:t>
            </w:r>
          </w:p>
        </w:tc>
        <w:tc>
          <w:tcPr>
            <w:tcW w:w="5575"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Pjesa e komentit që është pranuar është inkorporuar në fq. 23 të Programit të miratuar nga Kuvendi. Paragrafi ku është inkorporuar komenti është si në vijim:</w:t>
            </w:r>
          </w:p>
          <w:p w:rsidR="009406EB" w:rsidRPr="00180A8B" w:rsidRDefault="009406EB" w:rsidP="00ED122E">
            <w:pPr>
              <w:tabs>
                <w:tab w:val="center" w:pos="1737"/>
              </w:tabs>
              <w:spacing w:before="120" w:after="0" w:line="240" w:lineRule="auto"/>
              <w:rPr>
                <w:rFonts w:ascii="Times New Roman" w:hAnsi="Times New Roman" w:cs="Times New Roman"/>
                <w:bCs/>
              </w:rPr>
            </w:pPr>
            <w:r w:rsidRPr="00180A8B">
              <w:rPr>
                <w:rFonts w:ascii="Times New Roman" w:eastAsia="Book Antiqua" w:hAnsi="Times New Roman" w:cs="Times New Roman"/>
                <w:color w:val="000000" w:themeColor="text1"/>
              </w:rPr>
              <w:t xml:space="preserve">“Rregullorja nr. 05/2016 mbi </w:t>
            </w:r>
            <w:r w:rsidRPr="00180A8B">
              <w:rPr>
                <w:rFonts w:ascii="Times New Roman" w:eastAsia="Book Antiqua" w:hAnsi="Times New Roman" w:cs="Times New Roman"/>
                <w:i/>
                <w:color w:val="000000" w:themeColor="text1"/>
              </w:rPr>
              <w:t>Standardet Minimale për konsultimet Publike</w:t>
            </w:r>
            <w:r w:rsidRPr="00180A8B">
              <w:rPr>
                <w:rFonts w:ascii="Times New Roman" w:eastAsia="Book Antiqua" w:hAnsi="Times New Roman" w:cs="Times New Roman"/>
                <w:color w:val="000000" w:themeColor="text1"/>
              </w:rPr>
              <w:t xml:space="preserve"> është miratuar në prill 2016 dhe ka filluar së zbatuari nga janar i 2017. Zyra për Qeverisje të Mirë (ZQM/ZKM) është organi përgjegjës për koordinimin e konsultimeve që kryhen përmes </w:t>
            </w:r>
            <w:r w:rsidRPr="00180A8B">
              <w:rPr>
                <w:rFonts w:ascii="Times New Roman" w:eastAsia="Book Antiqua" w:hAnsi="Times New Roman" w:cs="Times New Roman"/>
                <w:i/>
                <w:color w:val="000000" w:themeColor="text1"/>
              </w:rPr>
              <w:t>Platformës Online për Konsultime me</w:t>
            </w:r>
            <w:r w:rsidRPr="00180A8B">
              <w:rPr>
                <w:rFonts w:ascii="Times New Roman" w:eastAsia="Book Antiqua" w:hAnsi="Times New Roman" w:cs="Times New Roman"/>
                <w:color w:val="000000" w:themeColor="text1"/>
              </w:rPr>
              <w:t xml:space="preserve"> </w:t>
            </w:r>
            <w:r w:rsidRPr="00180A8B">
              <w:rPr>
                <w:rFonts w:ascii="Times New Roman" w:eastAsia="Book Antiqua" w:hAnsi="Times New Roman" w:cs="Times New Roman"/>
                <w:i/>
                <w:color w:val="000000" w:themeColor="text1"/>
              </w:rPr>
              <w:t xml:space="preserve">Publikun </w:t>
            </w:r>
            <w:r w:rsidRPr="00180A8B">
              <w:rPr>
                <w:rFonts w:ascii="Times New Roman" w:eastAsia="Book Antiqua" w:hAnsi="Times New Roman" w:cs="Times New Roman"/>
                <w:color w:val="000000" w:themeColor="text1"/>
              </w:rPr>
              <w:t>dhe në forma të tjera, ndërsa Qeveria është e përkushtuar për zbatimin e kësaj rregulloreje. Rregullorja gjithashtu parasheh forma e teknika të tjera të konsultimit</w:t>
            </w:r>
            <w:r w:rsidRPr="00180A8B">
              <w:rPr>
                <w:rFonts w:ascii="Times New Roman" w:eastAsia="Book Antiqua" w:hAnsi="Times New Roman" w:cs="Times New Roman"/>
                <w:i/>
                <w:color w:val="000000" w:themeColor="text1"/>
              </w:rPr>
              <w:t xml:space="preserve"> </w:t>
            </w:r>
            <w:r w:rsidRPr="00180A8B">
              <w:rPr>
                <w:rFonts w:ascii="Times New Roman" w:eastAsia="Book Antiqua" w:hAnsi="Times New Roman" w:cs="Times New Roman"/>
                <w:color w:val="000000" w:themeColor="text1"/>
              </w:rPr>
              <w:t>publik, për të siguruar përfshirjen e grupeve të interesit në politikë-bërje. Ato duhet të jenë të përshtatshme dhe të qasshme për qytetarët dhe qytetaret e Kosovës varësisht prej temës që trajtohet dhe specifikave e ndjeshmërisë. Përveç këtij mekanizmi, nga viti 2018 funksionon edhe mekanizmi konsultues ndërmjet Qeverisë dhe OShC-ve e palëve të tjera të interesuara në kuadër të strukturave të përbashkëta institucionale BE-Kosovë të themeluara me MSA. I rregulluar sipas udhëzuesit përkatës, funksionimi i këtij mekanizmi është detyrë e zyrave për integrim evropian në Zyrën e Kryeministrit. Ky mekanizëm ofron forum të përshtatshëm që kontribuon në formësimin e politikë-bërjes dhe zbatimin e MSA-së, dhe si i tillë duhet të shfrytëzohet me mirë nga Qeveria dhe shoqëria civile.”</w:t>
            </w:r>
          </w:p>
        </w:tc>
      </w:tr>
      <w:tr w:rsidR="009406EB" w:rsidRPr="00180A8B" w:rsidTr="00FB010B">
        <w:trPr>
          <w:trHeight w:val="20"/>
        </w:trPr>
        <w:tc>
          <w:tcPr>
            <w:tcW w:w="1665" w:type="dxa"/>
            <w:vMerge/>
            <w:shd w:val="clear" w:color="auto" w:fill="BDD6EE" w:themeFill="accent1" w:themeFillTint="66"/>
          </w:tcPr>
          <w:p w:rsidR="009406EB" w:rsidRPr="00180A8B" w:rsidRDefault="009406EB" w:rsidP="00ED122E">
            <w:pPr>
              <w:spacing w:after="0" w:line="240" w:lineRule="auto"/>
              <w:rPr>
                <w:rFonts w:ascii="Times New Roman" w:hAnsi="Times New Roman" w:cs="Times New Roman"/>
                <w:bCs/>
              </w:rPr>
            </w:pPr>
          </w:p>
        </w:tc>
        <w:tc>
          <w:tcPr>
            <w:tcW w:w="4950" w:type="dxa"/>
            <w:shd w:val="clear" w:color="auto" w:fill="BDD6EE" w:themeFill="accent1" w:themeFillTint="66"/>
          </w:tcPr>
          <w:p w:rsidR="009406EB" w:rsidRPr="00180A8B" w:rsidRDefault="009406EB" w:rsidP="00ED122E">
            <w:pPr>
              <w:spacing w:after="0" w:line="240" w:lineRule="auto"/>
              <w:rPr>
                <w:rFonts w:ascii="Times New Roman" w:hAnsi="Times New Roman" w:cs="Times New Roman"/>
                <w:b/>
                <w:u w:val="single"/>
              </w:rPr>
            </w:pPr>
            <w:r w:rsidRPr="00180A8B">
              <w:rPr>
                <w:rFonts w:ascii="Times New Roman" w:hAnsi="Times New Roman" w:cs="Times New Roman"/>
                <w:b/>
                <w:u w:val="single"/>
              </w:rPr>
              <w:t>Të përfshihen zhvillimet kryesore nga Strategjia qeveritare për bashkëpunim me shoqërinë civile dhe përkushtimi për zbatimin e strategjisë së re 2019-2023</w:t>
            </w:r>
          </w:p>
          <w:p w:rsidR="009406EB" w:rsidRPr="00180A8B" w:rsidRDefault="009406EB" w:rsidP="00ED122E">
            <w:pPr>
              <w:spacing w:before="120" w:after="0" w:line="240" w:lineRule="auto"/>
              <w:rPr>
                <w:rFonts w:ascii="Times New Roman" w:hAnsi="Times New Roman"/>
              </w:rPr>
            </w:pPr>
            <w:r w:rsidRPr="00180A8B">
              <w:rPr>
                <w:rFonts w:ascii="Times New Roman" w:hAnsi="Times New Roman" w:cs="Times New Roman"/>
              </w:rPr>
              <w:t>Zhvillimi i shoqërisë civile është një koncept i gjerë që në vete ngërthen elemente dhe veprime që duhen të ndërmerren si nga vet shoqëria civile ashtu edhe institucionet publike dhe palët tjera. Përderisa obligimet e aktorëve të tjerë – përfshirë vet shoqërinë civile – me të drejtë nuk janë pjesë e projekt PKZMSA 2021-2025, në këtë dokument nuk trajtohen veprimet e Qeverisë së Kosovës drejt kontributit në zhvillim të shoqërisë civile. Pjesa më e madhe e veprimeve dhe obligimeve të Qeverisë së Kosovës duhet të konsistojnë në krijimin e një ambienti të përshtatshëm për funksionimin dhe zhvillimin e shoqërisë civile, qoftë në aspektin e politikave dhe legjislacionit ashtu edhe</w:t>
            </w:r>
            <w:r w:rsidRPr="00180A8B">
              <w:rPr>
                <w:rFonts w:ascii="Times New Roman" w:hAnsi="Times New Roman"/>
              </w:rPr>
              <w:t xml:space="preserve"> në atë praktikave të zbatimit.</w:t>
            </w:r>
          </w:p>
          <w:p w:rsidR="009406EB" w:rsidRPr="00180A8B" w:rsidRDefault="009406EB" w:rsidP="00ED122E">
            <w:pPr>
              <w:spacing w:before="120" w:after="0" w:line="240" w:lineRule="auto"/>
              <w:rPr>
                <w:rFonts w:ascii="Times New Roman" w:hAnsi="Times New Roman" w:cs="Times New Roman"/>
                <w:color w:val="000000"/>
              </w:rPr>
            </w:pPr>
            <w:r w:rsidRPr="00180A8B">
              <w:rPr>
                <w:rFonts w:ascii="Times New Roman" w:hAnsi="Times New Roman" w:cs="Times New Roman"/>
              </w:rPr>
              <w:t xml:space="preserve">Bazuar në qasjen e testuar nëpërmjet strategjisë 2013-2017, por duke synuar adresimin e problemeve të vërejtura gjatë zbatimit të saj, në pjesën e dytë të vitit 2017 ka filluar hartimi i strategjisë së re të bashkëpunimit për periudhën 2018-2022 (tanimë 2019-2023). Shoqëria civile ka qenë e përfshirë qysh në fazat e para të konceptimit dhe hartimit të këtij dokumenti. </w:t>
            </w:r>
            <w:r w:rsidRPr="00180A8B">
              <w:rPr>
                <w:rFonts w:ascii="Times New Roman" w:hAnsi="Times New Roman" w:cs="Times New Roman"/>
                <w:color w:val="000000"/>
              </w:rPr>
              <w:t>Më datë 4 prill 2019 është lansuar Strategjia e re Qeveritare për Bashkëpunim me Shoqërinë Civile 2019-2023.</w:t>
            </w:r>
          </w:p>
          <w:p w:rsidR="009406EB" w:rsidRPr="00180A8B" w:rsidRDefault="009406EB" w:rsidP="00ED122E">
            <w:pPr>
              <w:spacing w:before="120" w:after="0" w:line="240" w:lineRule="auto"/>
              <w:rPr>
                <w:rFonts w:ascii="Times New Roman" w:hAnsi="Times New Roman" w:cs="Times New Roman"/>
                <w:color w:val="000000"/>
              </w:rPr>
            </w:pPr>
            <w:r w:rsidRPr="00180A8B">
              <w:rPr>
                <w:rFonts w:ascii="Times New Roman" w:hAnsi="Times New Roman" w:cs="Times New Roman"/>
                <w:color w:val="000000"/>
              </w:rPr>
              <w:t xml:space="preserve">Fillimi i zbatimit të strategjisë së re u shoqërua me sfida të ngjashme, kryesisht për shkak të mungesës së vullnetit politik për zbatim që u manifestua kryesisht </w:t>
            </w:r>
            <w:r w:rsidRPr="00180A8B">
              <w:rPr>
                <w:rFonts w:ascii="Times New Roman" w:hAnsi="Times New Roman" w:cs="Times New Roman"/>
                <w:color w:val="000000"/>
              </w:rPr>
              <w:lastRenderedPageBreak/>
              <w:t>me mungesë të burimeve njerëzore e financiare nga Qeveria. Megjithatë, hapat e parë të zbatimit tashmë janë bërë gjatë vitit 2019, përsëri me angazhim të shtuar të shoqërisë civile dhe ndihmë të drejtpërdrejtë të projektit të asistencës teknike të BE-së për këtë temë. Në anën tjetër, sa i përket funksionimit të trupave përgjegjëse për monitorim të zbatimit të Strategjisë, si Këshilli dhe Grupet punuese të Strategjisë nuk kanë funksionuar fare gjatë vitit 2020. Përveç një takimi të Këshillit të mbajtur në ditët e fundit të vitit 2020, pjesa tjetër ka qenë jo aktive. Kjo kryesisht për shkak të pamundësisë për tu takuar për shkak të masave për parandalim të shpërndarjes së Covid-19, si dhe mungesës së mjeteve bazike të zyrtarëve përgjegjës të Qeverisë për takime online. Në përgjithësi, në dy vitet e para të zbatimit të Strategjisë është vërejtur angazhim i mangët i palëve përgjegjëse, të përfshira në këtë proces.</w:t>
            </w:r>
          </w:p>
          <w:p w:rsidR="009406EB" w:rsidRPr="00180A8B" w:rsidRDefault="009406EB" w:rsidP="00ED122E">
            <w:pPr>
              <w:spacing w:before="120" w:after="0" w:line="240" w:lineRule="auto"/>
              <w:rPr>
                <w:rFonts w:ascii="Times New Roman" w:hAnsi="Times New Roman" w:cs="Times New Roman"/>
                <w:color w:val="000000"/>
              </w:rPr>
            </w:pPr>
            <w:r w:rsidRPr="00180A8B">
              <w:rPr>
                <w:rFonts w:ascii="Times New Roman" w:hAnsi="Times New Roman" w:cs="Times New Roman"/>
                <w:i/>
              </w:rPr>
              <w:t>Për këtë arsye, KCSF rekomandon që në kapitullin 1.1.2 Administrata Publike - Korniza e Politikave dhe Korniza institucionale, në pjesën e Gjendjes Aktuale të përfshihen zhvillimet e mësipërme, ndërsa në pjesën e Prioriteteve Afatmesme të theksohet qartë përkushtimi i Qeverisë së Kosovës për të kontribuar në zhvillimin e shoqërisë civile, ndër të tjera, nëpërmjet zbatimit të Strategjisë qeveritare për bashkëpunim me shoqërinë civile 2019-2023 si dhe përkushtimi për të dëshmuar vullnet politik duke dedikuar mjaftueshëm burime njerëzore dhe financiare për zbatimin e obligimeve të marra, përfshi këtu edhe mjete të domosdoshme dhe qasje për takime online.</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lastRenderedPageBreak/>
              <w:t>KCSF</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Pranohet</w:t>
            </w:r>
          </w:p>
        </w:tc>
        <w:tc>
          <w:tcPr>
            <w:tcW w:w="5575"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Pjesa e komentit që është pranuar është inkorporuar në fq. 23 të Programit të miratuar nga Kuvendi. Paragrafi ku është inkorporuar komenti është si në vijim:</w:t>
            </w:r>
          </w:p>
          <w:p w:rsidR="009406EB" w:rsidRPr="00180A8B" w:rsidRDefault="009406EB" w:rsidP="00ED122E">
            <w:pPr>
              <w:tabs>
                <w:tab w:val="center" w:pos="1737"/>
              </w:tabs>
              <w:spacing w:before="120" w:after="0" w:line="240" w:lineRule="auto"/>
              <w:rPr>
                <w:rFonts w:ascii="Times New Roman" w:hAnsi="Times New Roman" w:cs="Times New Roman"/>
                <w:bCs/>
              </w:rPr>
            </w:pPr>
            <w:r w:rsidRPr="00180A8B">
              <w:rPr>
                <w:rFonts w:ascii="Times New Roman" w:eastAsia="Book Antiqua" w:hAnsi="Times New Roman" w:cs="Times New Roman"/>
                <w:color w:val="000000" w:themeColor="text1"/>
              </w:rPr>
              <w:t xml:space="preserve">“Rregullorja nr. 05/2016 mbi </w:t>
            </w:r>
            <w:r w:rsidRPr="00180A8B">
              <w:rPr>
                <w:rFonts w:ascii="Times New Roman" w:eastAsia="Book Antiqua" w:hAnsi="Times New Roman" w:cs="Times New Roman"/>
                <w:i/>
                <w:color w:val="000000" w:themeColor="text1"/>
              </w:rPr>
              <w:t>Standardet Minimale për konsultimet Publike</w:t>
            </w:r>
            <w:r w:rsidRPr="00180A8B">
              <w:rPr>
                <w:rFonts w:ascii="Times New Roman" w:eastAsia="Book Antiqua" w:hAnsi="Times New Roman" w:cs="Times New Roman"/>
                <w:color w:val="000000" w:themeColor="text1"/>
              </w:rPr>
              <w:t xml:space="preserve"> është miratuar në prill 2016 dhe ka filluar së zbatuari nga janar i 2017. Zyra për Qeverisje të Mirë (ZQM/ZKM) është organi përgjegjës për koordinimin e konsultimeve që kryhen përmes </w:t>
            </w:r>
            <w:r w:rsidRPr="00180A8B">
              <w:rPr>
                <w:rFonts w:ascii="Times New Roman" w:eastAsia="Book Antiqua" w:hAnsi="Times New Roman" w:cs="Times New Roman"/>
                <w:i/>
                <w:color w:val="000000" w:themeColor="text1"/>
              </w:rPr>
              <w:t>Platformës Online për Konsultime me</w:t>
            </w:r>
            <w:r w:rsidRPr="00180A8B">
              <w:rPr>
                <w:rFonts w:ascii="Times New Roman" w:eastAsia="Book Antiqua" w:hAnsi="Times New Roman" w:cs="Times New Roman"/>
                <w:color w:val="000000" w:themeColor="text1"/>
              </w:rPr>
              <w:t xml:space="preserve"> </w:t>
            </w:r>
            <w:r w:rsidRPr="00180A8B">
              <w:rPr>
                <w:rFonts w:ascii="Times New Roman" w:eastAsia="Book Antiqua" w:hAnsi="Times New Roman" w:cs="Times New Roman"/>
                <w:i/>
                <w:color w:val="000000" w:themeColor="text1"/>
              </w:rPr>
              <w:t xml:space="preserve">Publikun </w:t>
            </w:r>
            <w:r w:rsidRPr="00180A8B">
              <w:rPr>
                <w:rFonts w:ascii="Times New Roman" w:eastAsia="Book Antiqua" w:hAnsi="Times New Roman" w:cs="Times New Roman"/>
                <w:color w:val="000000" w:themeColor="text1"/>
              </w:rPr>
              <w:t>dhe në forma të tjera, ndërsa Qeveria është e përkushtuar për zbatimin e kësaj rregulloreje. Rregullorja gjithashtu parasheh forma e teknika të tjera të konsultimit</w:t>
            </w:r>
            <w:r w:rsidRPr="00180A8B">
              <w:rPr>
                <w:rFonts w:ascii="Times New Roman" w:eastAsia="Book Antiqua" w:hAnsi="Times New Roman" w:cs="Times New Roman"/>
                <w:i/>
                <w:color w:val="000000" w:themeColor="text1"/>
              </w:rPr>
              <w:t xml:space="preserve"> </w:t>
            </w:r>
            <w:r w:rsidRPr="00180A8B">
              <w:rPr>
                <w:rFonts w:ascii="Times New Roman" w:eastAsia="Book Antiqua" w:hAnsi="Times New Roman" w:cs="Times New Roman"/>
                <w:color w:val="000000" w:themeColor="text1"/>
              </w:rPr>
              <w:t>publik, për të siguruar përfshirjen e grupeve të interesit në politikë-bërje. Ato duhet të jenë të përshtatshme dhe të qasshme për qytetarët dhe qytetaret e Kosovës varësisht prej temës që trajtohet dhe specifikave e ndjeshmërisë. Përveç këtij mekanizmi, nga viti 2018 funksionon edhe mekanizmi konsultues ndërmjet Qeverisë dhe OShC-ve e palëve të tjera të interesuara në kuadër të strukturave të përbashkëta institucionale BE-Kosovë të themeluara me MSA. I rregulluar sipas udhëzuesit përkatës, funksionimi i këtij mekanizmi është detyrë e zyrave për integrim evropian në Zyrën e Kryeministrit. Ky mekanizëm ofron forum të përshtatshëm që kontribuon në formësimin e politikë-bërjes dhe zbatimin e MSA-së, dhe si i tillë duhet të shfrytëzohet me mirë nga Qeveria dhe shoqëria civile.”</w:t>
            </w:r>
          </w:p>
        </w:tc>
      </w:tr>
      <w:tr w:rsidR="009406EB" w:rsidRPr="00180A8B" w:rsidTr="009B383F">
        <w:trPr>
          <w:trHeight w:val="20"/>
        </w:trPr>
        <w:tc>
          <w:tcPr>
            <w:tcW w:w="1665" w:type="dxa"/>
            <w:vMerge/>
            <w:shd w:val="clear" w:color="auto" w:fill="BDD6EE" w:themeFill="accent1" w:themeFillTint="66"/>
          </w:tcPr>
          <w:p w:rsidR="009406EB" w:rsidRPr="00180A8B" w:rsidRDefault="009406EB" w:rsidP="00ED122E">
            <w:pPr>
              <w:spacing w:after="0" w:line="240" w:lineRule="auto"/>
              <w:rPr>
                <w:rFonts w:ascii="Times New Roman" w:hAnsi="Times New Roman" w:cs="Times New Roman"/>
                <w:bCs/>
              </w:rPr>
            </w:pPr>
          </w:p>
        </w:tc>
        <w:tc>
          <w:tcPr>
            <w:tcW w:w="4950" w:type="dxa"/>
            <w:shd w:val="clear" w:color="auto" w:fill="BDD6EE" w:themeFill="accent1" w:themeFillTint="66"/>
          </w:tcPr>
          <w:p w:rsidR="009406EB" w:rsidRPr="00180A8B" w:rsidRDefault="009406EB" w:rsidP="00ED122E">
            <w:pPr>
              <w:spacing w:after="0" w:line="240" w:lineRule="auto"/>
              <w:rPr>
                <w:rFonts w:ascii="Times New Roman" w:hAnsi="Times New Roman" w:cs="Times New Roman"/>
              </w:rPr>
            </w:pPr>
            <w:r w:rsidRPr="00180A8B">
              <w:rPr>
                <w:rFonts w:ascii="Times New Roman" w:hAnsi="Times New Roman" w:cs="Times New Roman"/>
                <w:b/>
                <w:u w:val="single"/>
              </w:rPr>
              <w:t>Përkushtimi për zbatimin e Rregullores MF-nr. 04/2017 për financimin publik të OJQ-ve</w:t>
            </w:r>
          </w:p>
          <w:p w:rsidR="009406EB" w:rsidRPr="00180A8B" w:rsidRDefault="009406EB" w:rsidP="00ED122E">
            <w:pPr>
              <w:spacing w:before="120" w:after="0" w:line="240" w:lineRule="auto"/>
              <w:rPr>
                <w:rFonts w:ascii="Times New Roman" w:hAnsi="Times New Roman" w:cs="Times New Roman"/>
              </w:rPr>
            </w:pPr>
            <w:r w:rsidRPr="00180A8B">
              <w:rPr>
                <w:rFonts w:ascii="Times New Roman" w:hAnsi="Times New Roman" w:cs="Times New Roman"/>
              </w:rPr>
              <w:lastRenderedPageBreak/>
              <w:t>Kjo Rregullore ka rol të rëndësishëm në krijimin e një ambienti të përshtatshëm për zhvillim të shoqërisë civile në Kosovë, duke qenë se për herë të parë ka krijuar një sistem të decentralizuar për shpërndarje të mbështetjes financiare publike për OJQ, bazuar në kritere standarde dhe procedura të unifikuara.</w:t>
            </w:r>
          </w:p>
          <w:p w:rsidR="009406EB" w:rsidRPr="00180A8B" w:rsidRDefault="009406EB" w:rsidP="00ED122E">
            <w:pPr>
              <w:spacing w:before="120" w:after="0" w:line="240" w:lineRule="auto"/>
              <w:rPr>
                <w:rFonts w:ascii="Times New Roman" w:hAnsi="Times New Roman" w:cs="Times New Roman"/>
              </w:rPr>
            </w:pPr>
            <w:r w:rsidRPr="00180A8B">
              <w:rPr>
                <w:rFonts w:ascii="Times New Roman" w:hAnsi="Times New Roman" w:cs="Times New Roman"/>
              </w:rPr>
              <w:t>Zbatimi i Rregullores për fondet publike që u shpërndahen OShC-ve është duke ngecur kryesisht për këto arsye: kodet specifike buxhetore nuk janë krijuar asnjëherë; thirrjet publike edhe pse janë të shpeshta, rrallëherë ndjekin të gjitha procedurat e përcaktuara me Rregullore; Listat e përfituesëve të financimit publik tregojnë se institucionet publike gabimisht i kategorizojnë fondet e alokuara për klubet sportive, federatat, institucionet fetare, shkollat private, ansamblet e artit dhe teatrot e qytetit si mbështetje për OShC-të. Gjithashtu, mbetet shumë për të bërë në drejtim të rritjes së transparencës dhe përmirësimit të sistemeve të monitorimit dhe raportimit.</w:t>
            </w:r>
          </w:p>
          <w:p w:rsidR="009406EB" w:rsidRPr="00180A8B" w:rsidRDefault="009406EB" w:rsidP="00ED122E">
            <w:pPr>
              <w:spacing w:before="120" w:after="0" w:line="240" w:lineRule="auto"/>
              <w:rPr>
                <w:rFonts w:ascii="Times New Roman" w:hAnsi="Times New Roman" w:cs="Times New Roman"/>
              </w:rPr>
            </w:pPr>
            <w:r w:rsidRPr="00180A8B">
              <w:rPr>
                <w:rFonts w:ascii="Times New Roman" w:hAnsi="Times New Roman" w:cs="Times New Roman"/>
                <w:i/>
              </w:rPr>
              <w:t>Për këtë arsye, KCSF rekomandon që në kapitullin 1.1.2. Administrata Publike, tek paragrafi për financimin publik të OJQ-ve, të theksohet qartë përkushtimi i Qeverisë për të zbatuar Rregulloren në tërësi.</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lastRenderedPageBreak/>
              <w:t>KCSF</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Pranohet pjesërisht</w:t>
            </w:r>
          </w:p>
        </w:tc>
        <w:tc>
          <w:tcPr>
            <w:tcW w:w="5575"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Pjesa e komentit që është pranuar është inkorporuar në fq. 23 të Programit të miratuar nga Kuvendi. Paragrafi ku është inkorporuar komenti është si në vijim:</w:t>
            </w:r>
          </w:p>
          <w:p w:rsidR="009406EB" w:rsidRPr="00180A8B" w:rsidRDefault="009406EB" w:rsidP="00ED122E">
            <w:pPr>
              <w:tabs>
                <w:tab w:val="center" w:pos="1737"/>
              </w:tabs>
              <w:spacing w:before="120" w:after="0" w:line="240" w:lineRule="auto"/>
              <w:rPr>
                <w:rFonts w:ascii="Times New Roman" w:eastAsia="Book Antiqua" w:hAnsi="Times New Roman" w:cs="Times New Roman"/>
                <w:color w:val="000000" w:themeColor="text1"/>
              </w:rPr>
            </w:pPr>
            <w:r w:rsidRPr="00180A8B">
              <w:rPr>
                <w:rFonts w:ascii="Times New Roman" w:eastAsia="Book Antiqua" w:hAnsi="Times New Roman" w:cs="Times New Roman"/>
                <w:color w:val="000000" w:themeColor="text1"/>
              </w:rPr>
              <w:lastRenderedPageBreak/>
              <w:t>“Nga viti 2017, me miratimin e Rregullores MF-nr. 04/2017, Kosova ka ndërtuar një sistem me rregulla të unifikuara për financimin publik të OJQ-ve. Kjo rregullore përcakton kriteret minimale të ndërlidhura me financimin publik. Qeveria është e përkushtuar për zbatimin e kësaj rregulloreje dhe tashmë ka iniciative konkrete si ajo e Ministrisë së Kulturës për të avancuar zbatimin e kësaj rregulloreje. Për më tepër, Qeveria, më 2 prill 2019, me vendimin nr. 05/96, ka themeluar mekanizmat për bashkëpunim të Qeverisë me shoqërinë civile, konkretisht Këshillin për Bashkëpunim të Qeverisë me Shoqërinë Civile. Ai është mekanizmi kryesor dhe i përhershëm këshillues që koordinon dhe përmirëson të gjithë procesin e bashkëpunimit qeveritar me shoqërinë civile, ku ZQM shërben si Sekretariat. Këshilli bashkë-kryesohet nga Sekretari i Përgjithshëm i ZKM-së dhe Drejtori-ja Ekzekutiv i Platformës CiviKos. Ky këshill përbëhet nga 29 anëtarë: 15 nga OShC-të dhe 14 nga institucionet.”</w:t>
            </w:r>
          </w:p>
        </w:tc>
      </w:tr>
      <w:tr w:rsidR="009406EB" w:rsidRPr="00180A8B" w:rsidTr="00FB010B">
        <w:trPr>
          <w:trHeight w:val="285"/>
        </w:trPr>
        <w:tc>
          <w:tcPr>
            <w:tcW w:w="1665" w:type="dxa"/>
            <w:vMerge/>
            <w:shd w:val="clear" w:color="auto" w:fill="BDD6EE" w:themeFill="accent1" w:themeFillTint="66"/>
          </w:tcPr>
          <w:p w:rsidR="009406EB" w:rsidRPr="00180A8B" w:rsidRDefault="009406EB" w:rsidP="00ED122E">
            <w:pPr>
              <w:spacing w:after="0" w:line="240" w:lineRule="auto"/>
              <w:rPr>
                <w:rFonts w:ascii="Times New Roman" w:hAnsi="Times New Roman" w:cs="Times New Roman"/>
                <w:bCs/>
              </w:rPr>
            </w:pPr>
          </w:p>
        </w:tc>
        <w:tc>
          <w:tcPr>
            <w:tcW w:w="4950" w:type="dxa"/>
            <w:shd w:val="clear" w:color="auto" w:fill="BDD6EE" w:themeFill="accent1" w:themeFillTint="66"/>
          </w:tcPr>
          <w:p w:rsidR="009406EB" w:rsidRPr="00180A8B" w:rsidRDefault="009406EB" w:rsidP="00ED122E">
            <w:pPr>
              <w:spacing w:after="0" w:line="240" w:lineRule="auto"/>
              <w:rPr>
                <w:rFonts w:ascii="Times New Roman" w:hAnsi="Times New Roman" w:cs="Times New Roman"/>
              </w:rPr>
            </w:pPr>
            <w:r w:rsidRPr="00180A8B">
              <w:rPr>
                <w:rFonts w:ascii="Times New Roman" w:hAnsi="Times New Roman" w:cs="Times New Roman"/>
                <w:b/>
                <w:u w:val="single"/>
              </w:rPr>
              <w:t>Udhëzimi Administrativ 06/2018 për Standardet Minimale të Konsultimeve Publike në nivel lokal</w:t>
            </w:r>
          </w:p>
          <w:p w:rsidR="009406EB" w:rsidRPr="00180A8B" w:rsidRDefault="009406EB" w:rsidP="00ED122E">
            <w:pPr>
              <w:spacing w:before="120" w:after="0" w:line="240" w:lineRule="auto"/>
              <w:rPr>
                <w:rFonts w:ascii="Times New Roman" w:hAnsi="Times New Roman" w:cs="Times New Roman"/>
              </w:rPr>
            </w:pPr>
            <w:r w:rsidRPr="00180A8B">
              <w:rPr>
                <w:rFonts w:ascii="Times New Roman" w:hAnsi="Times New Roman" w:cs="Times New Roman"/>
              </w:rPr>
              <w:t xml:space="preserve">Në draft PKZMSA 2022-2026, nën titullin e Vetëqeverisjes lokale përmend se duhet rritur cilësia e konsultimeve publike në nivelin lokal. Mirëpo për këtë çështje duhet të theksohet se edhe pse pas miratimit të Udhëzimit Administrativ 06/2018 për Standardet Minimale të Konsultimeve Publike në </w:t>
            </w:r>
            <w:r w:rsidRPr="00180A8B">
              <w:rPr>
                <w:rFonts w:ascii="Times New Roman" w:hAnsi="Times New Roman" w:cs="Times New Roman"/>
              </w:rPr>
              <w:lastRenderedPageBreak/>
              <w:t>nivel lokal, është zhvilluar komponenta e konsultimit online dhe e njëjta është inkorporuar në Platformën online për konsultim publik, fatkeqësisht, procesi i konsultimit ende nuk ka filluar të zbatohet.</w:t>
            </w:r>
          </w:p>
          <w:p w:rsidR="009406EB" w:rsidRPr="00180A8B" w:rsidRDefault="009406EB" w:rsidP="00ED122E">
            <w:pPr>
              <w:spacing w:line="240" w:lineRule="auto"/>
              <w:rPr>
                <w:rFonts w:ascii="Times New Roman" w:hAnsi="Times New Roman" w:cs="Times New Roman"/>
              </w:rPr>
            </w:pPr>
            <w:r w:rsidRPr="00180A8B">
              <w:rPr>
                <w:rFonts w:ascii="Times New Roman" w:hAnsi="Times New Roman" w:cs="Times New Roman"/>
              </w:rPr>
              <w:t>Duke qenë se PKZMSA përmban një kapitull që flet për vetëqeverisje lokale, vlen të theksohet se KCSF vazhdimisht ka rekomanduar që obligimi për zbatimin e këtij udhëzimi të jetë pjesë e PKZMSA-së, edhe për arsye se një dokument i tillë është dokument që rregullon përfshirjen e të gjithë qytetarëve dhe palëve të interesuara në hartimin e politikave në nivel lokal, përkatësisht në atë nivel të qeverisjes ku qytetarët dhe qytetaret e Kosovës mund të japin kontributin më të madh, dhe vendimet e të cilit nivel prekin drejtpërdrejtë përditshmërinë e jetës së tyre.</w:t>
            </w:r>
          </w:p>
          <w:p w:rsidR="009406EB" w:rsidRPr="00180A8B" w:rsidRDefault="009406EB" w:rsidP="00ED122E">
            <w:pPr>
              <w:spacing w:after="0" w:line="240" w:lineRule="auto"/>
              <w:rPr>
                <w:rFonts w:ascii="Times New Roman" w:hAnsi="Times New Roman" w:cs="Times New Roman"/>
              </w:rPr>
            </w:pPr>
            <w:r w:rsidRPr="00180A8B">
              <w:rPr>
                <w:rFonts w:ascii="Times New Roman" w:hAnsi="Times New Roman" w:cs="Times New Roman"/>
              </w:rPr>
              <w:t xml:space="preserve">KCSF </w:t>
            </w:r>
            <w:r w:rsidRPr="00180A8B">
              <w:rPr>
                <w:rFonts w:ascii="Times New Roman" w:hAnsi="Times New Roman" w:cs="Times New Roman"/>
                <w:i/>
              </w:rPr>
              <w:t>rekomandon që në kapitullin 1.1.2. Administrata Publike/ Vetëqeverisja Lokale, të theksohet qartë përkushtimi i Qeverisë, përkatësisht i Ministrisë së Administrimit të Pushtetit Lokal që të ndërmarrë masa të qarta për të siguruar që Udhëzimi Administrativ 06/2018 për Standardet Minimale të Konsultimeve Publike në nivel lokal të fillojë të zbatohet, specifikisht përmes funksionalizimit të procesit të konsultimit publik dhe planit të detajuar për ngritje të kapaciteteve të zyrtarëve komunal që është i domosdoshëm për të siguruar funksionim normal të procesit të konsultimit publik në nivel lokal.</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lastRenderedPageBreak/>
              <w:t>KCSF</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Pranohet pjesërisht</w:t>
            </w:r>
          </w:p>
        </w:tc>
        <w:tc>
          <w:tcPr>
            <w:tcW w:w="5575"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Kjo çështje veçse ka qenë pjesë e draft-PKZMSA 2022-2026 edhe para konsultimeve publike, përkatësisht në fq. 25 të Programit të miratuar nga Kuvendi. Paragrafi ku është inkorporuar komenti është si në vijim:.</w:t>
            </w:r>
          </w:p>
          <w:p w:rsidR="009406EB" w:rsidRPr="00180A8B" w:rsidRDefault="009406EB" w:rsidP="00ED122E">
            <w:pPr>
              <w:tabs>
                <w:tab w:val="center" w:pos="1737"/>
              </w:tabs>
              <w:spacing w:before="120" w:after="0" w:line="240" w:lineRule="auto"/>
              <w:rPr>
                <w:rFonts w:ascii="Times New Roman" w:eastAsia="Book Antiqua" w:hAnsi="Times New Roman" w:cs="Times New Roman"/>
                <w:color w:val="000000" w:themeColor="text1"/>
              </w:rPr>
            </w:pPr>
            <w:r w:rsidRPr="00180A8B">
              <w:rPr>
                <w:rFonts w:ascii="Times New Roman" w:hAnsi="Times New Roman" w:cs="Times New Roman"/>
                <w:bCs/>
              </w:rPr>
              <w:t>“</w:t>
            </w:r>
            <w:r w:rsidRPr="00180A8B">
              <w:rPr>
                <w:rFonts w:ascii="Times New Roman" w:eastAsia="Book Antiqua" w:hAnsi="Times New Roman" w:cs="Times New Roman"/>
                <w:color w:val="000000" w:themeColor="text1"/>
              </w:rPr>
              <w:t>Raporti i KE-së për Kosovën – 2021</w:t>
            </w:r>
            <w:r w:rsidRPr="00180A8B">
              <w:rPr>
                <w:rFonts w:ascii="Times New Roman" w:eastAsia="Book Antiqua" w:hAnsi="Times New Roman" w:cs="Times New Roman"/>
                <w:i/>
                <w:color w:val="000000" w:themeColor="text1"/>
              </w:rPr>
              <w:t xml:space="preserve"> </w:t>
            </w:r>
            <w:r w:rsidRPr="00180A8B">
              <w:rPr>
                <w:rFonts w:ascii="Times New Roman" w:eastAsia="Book Antiqua" w:hAnsi="Times New Roman" w:cs="Times New Roman"/>
                <w:color w:val="000000" w:themeColor="text1"/>
              </w:rPr>
              <w:t>thekson se niveli i përfaqësimit të grave në pozita drejtuese në nivelin</w:t>
            </w:r>
            <w:r w:rsidRPr="00180A8B">
              <w:rPr>
                <w:rFonts w:ascii="Times New Roman" w:eastAsia="Book Antiqua" w:hAnsi="Times New Roman" w:cs="Times New Roman"/>
                <w:i/>
                <w:color w:val="000000" w:themeColor="text1"/>
              </w:rPr>
              <w:t xml:space="preserve"> </w:t>
            </w:r>
            <w:r w:rsidRPr="00180A8B">
              <w:rPr>
                <w:rFonts w:ascii="Times New Roman" w:eastAsia="Book Antiqua" w:hAnsi="Times New Roman" w:cs="Times New Roman"/>
                <w:color w:val="000000" w:themeColor="text1"/>
              </w:rPr>
              <w:t xml:space="preserve">lokal mbetet çështje që duhet adresuar me prioritet më të lartë, edhe pse ka pasur progres në këtë drejtim ku sipas </w:t>
            </w:r>
            <w:r w:rsidRPr="00180A8B">
              <w:rPr>
                <w:rFonts w:ascii="Times New Roman" w:eastAsia="Book Antiqua" w:hAnsi="Times New Roman" w:cs="Times New Roman"/>
                <w:color w:val="000000" w:themeColor="text1"/>
              </w:rPr>
              <w:lastRenderedPageBreak/>
              <w:t xml:space="preserve">raportimeve të fundit </w:t>
            </w:r>
            <w:r w:rsidRPr="00180A8B">
              <w:rPr>
                <w:rFonts w:ascii="Times New Roman" w:hAnsi="Times New Roman" w:cs="Times New Roman"/>
                <w:bCs/>
                <w:color w:val="000000" w:themeColor="text1"/>
              </w:rPr>
              <w:t>gratë e përfaqësuara në pozita vendimmarrëse shprehur me përqindje janë 25.2%, derisa në pozita të nënkryetarit në komunë janë caktuar tri gra (duke përfshirë një pozitë të nënkryetares për komunitete).</w:t>
            </w:r>
            <w:r w:rsidRPr="00180A8B">
              <w:rPr>
                <w:rFonts w:ascii="Times New Roman" w:eastAsia="Book Antiqua" w:hAnsi="Times New Roman" w:cs="Times New Roman"/>
                <w:color w:val="000000" w:themeColor="text1"/>
              </w:rPr>
              <w:t xml:space="preserve"> Gjithashtu, sipas gjetjeve të Raportit të Vendit për vitin 2021 rekomandohet të rritet cilësia e konsultimeve publike në nivelin lokal. Duhet rritur kapaciteti i burimeve njerëzore dhe financiare që të mundësohet rritja e cilësisë së shërbimeve komunale. Institucionet qendrore duhet të definojnë kritere të qarta dhe transparente sa i përket shpërndarjes të fondeve në nivel lokal.”</w:t>
            </w:r>
          </w:p>
          <w:p w:rsidR="009406EB" w:rsidRPr="00180A8B" w:rsidRDefault="009406EB" w:rsidP="00ED122E">
            <w:pPr>
              <w:tabs>
                <w:tab w:val="center" w:pos="1737"/>
              </w:tabs>
              <w:spacing w:after="0" w:line="240" w:lineRule="auto"/>
              <w:rPr>
                <w:rFonts w:ascii="Times New Roman" w:hAnsi="Times New Roman" w:cs="Times New Roman"/>
                <w:bCs/>
              </w:rPr>
            </w:pPr>
          </w:p>
        </w:tc>
      </w:tr>
      <w:tr w:rsidR="009406EB" w:rsidRPr="00180A8B" w:rsidTr="00FB010B">
        <w:trPr>
          <w:trHeight w:val="285"/>
        </w:trPr>
        <w:tc>
          <w:tcPr>
            <w:tcW w:w="1665" w:type="dxa"/>
            <w:vMerge/>
            <w:shd w:val="clear" w:color="auto" w:fill="BDD6EE" w:themeFill="accent1" w:themeFillTint="66"/>
          </w:tcPr>
          <w:p w:rsidR="009406EB" w:rsidRPr="00180A8B" w:rsidRDefault="009406EB" w:rsidP="00ED122E">
            <w:pPr>
              <w:spacing w:after="0" w:line="240" w:lineRule="auto"/>
              <w:rPr>
                <w:rFonts w:ascii="Times New Roman" w:hAnsi="Times New Roman" w:cs="Times New Roman"/>
                <w:bCs/>
              </w:rPr>
            </w:pPr>
          </w:p>
        </w:tc>
        <w:tc>
          <w:tcPr>
            <w:tcW w:w="4950" w:type="dxa"/>
            <w:shd w:val="clear" w:color="auto" w:fill="BDD6EE" w:themeFill="accent1" w:themeFillTint="66"/>
          </w:tcPr>
          <w:p w:rsidR="009406EB" w:rsidRPr="00180A8B" w:rsidRDefault="009406EB" w:rsidP="00ED122E">
            <w:pPr>
              <w:spacing w:line="240" w:lineRule="auto"/>
              <w:rPr>
                <w:rFonts w:ascii="Times New Roman" w:hAnsi="Times New Roman" w:cs="Times New Roman"/>
              </w:rPr>
            </w:pPr>
            <w:r w:rsidRPr="00180A8B">
              <w:rPr>
                <w:rFonts w:ascii="Times New Roman" w:hAnsi="Times New Roman" w:cs="Times New Roman"/>
                <w:b/>
                <w:u w:val="single"/>
              </w:rPr>
              <w:t>Ligji i punës dhe zbatimi i tij në sektorin e OShC-ve</w:t>
            </w:r>
          </w:p>
          <w:p w:rsidR="009406EB" w:rsidRPr="00180A8B" w:rsidRDefault="009406EB" w:rsidP="00ED122E">
            <w:pPr>
              <w:spacing w:line="240" w:lineRule="auto"/>
              <w:rPr>
                <w:rFonts w:ascii="Times New Roman" w:hAnsi="Times New Roman" w:cs="Times New Roman"/>
              </w:rPr>
            </w:pPr>
            <w:r w:rsidRPr="00180A8B">
              <w:rPr>
                <w:rFonts w:ascii="Times New Roman" w:hAnsi="Times New Roman" w:cs="Times New Roman"/>
              </w:rPr>
              <w:t xml:space="preserve">KCSF rekomandon që në kapitullin Politikat sociale dhe të punësimit në PKZMSA 2022-2026 të theksohet qartë përkushtimi i Qeverisë që gjatë </w:t>
            </w:r>
            <w:r w:rsidRPr="00180A8B">
              <w:rPr>
                <w:rFonts w:ascii="Times New Roman" w:hAnsi="Times New Roman" w:cs="Times New Roman"/>
              </w:rPr>
              <w:lastRenderedPageBreak/>
              <w:t>ndryshimit të Ligjit të punës kujdes i veçantë t’i jepet edhe pjesës së përshtatshmërisë së dispozitave ligjore me natyrën dhe nevojat specifike të sektorit jo-qeveritar, sipas standardeve dhe praktikave të vendeve të BE-së.</w:t>
            </w:r>
          </w:p>
          <w:p w:rsidR="009406EB" w:rsidRPr="00180A8B" w:rsidRDefault="009406EB" w:rsidP="00ED122E">
            <w:pPr>
              <w:spacing w:after="0" w:line="240" w:lineRule="auto"/>
              <w:rPr>
                <w:rFonts w:ascii="Times New Roman" w:hAnsi="Times New Roman" w:cs="Times New Roman"/>
                <w:b/>
                <w:u w:val="single"/>
              </w:rPr>
            </w:pPr>
            <w:r w:rsidRPr="00180A8B">
              <w:rPr>
                <w:rFonts w:ascii="Times New Roman" w:hAnsi="Times New Roman" w:cs="Times New Roman"/>
              </w:rPr>
              <w:t xml:space="preserve">Sa për qartësim, ky koment nuk është pranuar në konsultimin e PKZMSA-së së kaluar, me arsyetimin se çështja e ngritur kërkon një studim më të hollësishëm para se të merret ndonjë vendim se si të rregullohet dhe për shkak të kohës së shkurtër në dispozicion gjë më të cilën pajtohemi. </w:t>
            </w:r>
            <w:r w:rsidRPr="00180A8B">
              <w:rPr>
                <w:rFonts w:ascii="Times New Roman" w:hAnsi="Times New Roman" w:cs="Times New Roman"/>
                <w:i/>
              </w:rPr>
              <w:t>Prandaj, si rekomandim shtesë për PKZMSA-në e këtij viti, duke qenë se është ende në proces plotësim-ndryshimi i Ligjit të punës, në planifikim të përfshihet edhe analiza e nevojshme për ndryshimet e propozuara më lartë në mënyrë që rekomandimet nga ky vlerësim të adresohen në Ligj.</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lastRenderedPageBreak/>
              <w:t>KCSF</w:t>
            </w:r>
          </w:p>
        </w:tc>
        <w:tc>
          <w:tcPr>
            <w:tcW w:w="1260"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 xml:space="preserve">Nuk pranohet </w:t>
            </w:r>
          </w:p>
        </w:tc>
        <w:tc>
          <w:tcPr>
            <w:tcW w:w="5575" w:type="dxa"/>
            <w:shd w:val="clear" w:color="auto" w:fill="BDD6EE" w:themeFill="accent1" w:themeFillTint="66"/>
          </w:tcPr>
          <w:p w:rsidR="009406EB" w:rsidRPr="00180A8B" w:rsidRDefault="009406E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rPr>
              <w:t>Projektligji i punës është pjesë e PKZMSA 2022-2026, por çështja e ngritur kërkon një studim më të hollësishëm para se të merret ndonjë vendim se si të rregullohet, dhe është shumë e detajuar për t’u përmendur në PKZMSA. Ajo mund të trajtohet drejtpërsëdrejti me ministrinë sponsorizuese (MFPT) në kuadër të procesit të hartimit të këtij projektligji.</w:t>
            </w:r>
          </w:p>
        </w:tc>
      </w:tr>
      <w:tr w:rsidR="00EE180B" w:rsidRPr="00180A8B" w:rsidTr="00FB010B">
        <w:trPr>
          <w:trHeight w:val="285"/>
        </w:trPr>
        <w:tc>
          <w:tcPr>
            <w:tcW w:w="1665" w:type="dxa"/>
            <w:vMerge w:val="restart"/>
            <w:shd w:val="clear" w:color="auto" w:fill="BDD6EE" w:themeFill="accent1" w:themeFillTint="66"/>
          </w:tcPr>
          <w:p w:rsidR="00EE180B" w:rsidRPr="00180A8B" w:rsidRDefault="00EE180B" w:rsidP="00ED122E">
            <w:pPr>
              <w:spacing w:after="0" w:line="240" w:lineRule="auto"/>
              <w:rPr>
                <w:rFonts w:ascii="Times New Roman" w:hAnsi="Times New Roman" w:cs="Times New Roman"/>
                <w:bCs/>
              </w:rPr>
            </w:pPr>
            <w:r w:rsidRPr="00180A8B">
              <w:rPr>
                <w:rFonts w:ascii="Times New Roman" w:hAnsi="Times New Roman" w:cs="Times New Roman"/>
                <w:b/>
                <w:bCs/>
              </w:rPr>
              <w:t>Blloku III:</w:t>
            </w:r>
            <w:r w:rsidRPr="00180A8B">
              <w:rPr>
                <w:rFonts w:ascii="Times New Roman" w:hAnsi="Times New Roman" w:cs="Times New Roman"/>
                <w:b/>
              </w:rPr>
              <w:t xml:space="preserve"> </w:t>
            </w:r>
            <w:r w:rsidRPr="00180A8B">
              <w:rPr>
                <w:rFonts w:ascii="Times New Roman" w:hAnsi="Times New Roman" w:cs="Times New Roman"/>
                <w:b/>
                <w:bCs/>
              </w:rPr>
              <w:t>Standardet evropiane</w:t>
            </w:r>
          </w:p>
        </w:tc>
        <w:tc>
          <w:tcPr>
            <w:tcW w:w="4950" w:type="dxa"/>
            <w:shd w:val="clear" w:color="auto" w:fill="BDD6EE" w:themeFill="accent1" w:themeFillTint="66"/>
          </w:tcPr>
          <w:p w:rsidR="00EE180B" w:rsidRPr="00180A8B" w:rsidRDefault="00EE180B" w:rsidP="009406EB">
            <w:pPr>
              <w:spacing w:after="0" w:line="240" w:lineRule="auto"/>
              <w:rPr>
                <w:rFonts w:ascii="Times New Roman" w:hAnsi="Times New Roman" w:cs="Times New Roman"/>
              </w:rPr>
            </w:pPr>
            <w:r w:rsidRPr="00180A8B">
              <w:rPr>
                <w:rFonts w:ascii="Times New Roman" w:hAnsi="Times New Roman" w:cs="Times New Roman"/>
                <w:b/>
                <w:u w:val="single"/>
              </w:rPr>
              <w:t>Statistikat dhe mbledhja e të dhënave për sektorin e OShC-ve</w:t>
            </w:r>
          </w:p>
          <w:p w:rsidR="009406EB" w:rsidRPr="00180A8B" w:rsidRDefault="00EE180B" w:rsidP="009406EB">
            <w:pPr>
              <w:spacing w:before="120" w:after="0" w:line="240" w:lineRule="auto"/>
              <w:rPr>
                <w:rFonts w:ascii="Times New Roman" w:hAnsi="Times New Roman" w:cs="Times New Roman"/>
              </w:rPr>
            </w:pPr>
            <w:r w:rsidRPr="00180A8B">
              <w:rPr>
                <w:rFonts w:ascii="Times New Roman" w:hAnsi="Times New Roman" w:cs="Times New Roman"/>
              </w:rPr>
              <w:t xml:space="preserve">Në Kosovë ka mungesë të të dhënave zyrtare dhe sistematike mbi sektorin e shoqërisë civile, sidomos ato që lidhen me vlerën ekonomike të sektorit, e që hyjnë në kuadër të fushave të </w:t>
            </w:r>
            <w:r w:rsidRPr="00180A8B">
              <w:rPr>
                <w:rFonts w:ascii="Times New Roman" w:hAnsi="Times New Roman" w:cs="Times New Roman"/>
                <w:i/>
                <w:iCs/>
              </w:rPr>
              <w:t>Acquis</w:t>
            </w:r>
            <w:r w:rsidRPr="00180A8B">
              <w:rPr>
                <w:rFonts w:ascii="Times New Roman" w:hAnsi="Times New Roman" w:cs="Times New Roman"/>
              </w:rPr>
              <w:t xml:space="preserve"> për statistikat si ato makro-ekonomike dhe të çmimeve dhe statistikat demografike dhe sociale. Prandaj për të nxjerrë të dhëna orientuese, gjithsesi jo të sakta, mbi sektorin e shoqërisë civile siç janë: llogaritja e përqindjeve të burimeve të financimit të sektorit, apo numri i të punësuarve dhe kontribuesëve tatimorë nga shoqëria civile, duhet të kombinohen të dhëna nga burime të ndryshme siç janë Administrata Tatimore e Kosovës, Fondi i Kursimeve Pensionale të Kosovës, Banka Qendrore e Kosovës, Departamenti për OJQ në Ministrinë e Administratës Publike dhe të dhënat e </w:t>
            </w:r>
            <w:r w:rsidRPr="00180A8B">
              <w:rPr>
                <w:rFonts w:ascii="Times New Roman" w:hAnsi="Times New Roman" w:cs="Times New Roman"/>
              </w:rPr>
              <w:lastRenderedPageBreak/>
              <w:t>mbledhura nga vetë KCSF. Për më tepër, edhe Raporti i vendit i përgatitur nga BE ka theksuar detalisht mangësitë për gjendjen e statistikave në Kosovë, në përgjithësi, duke përfshirë këtu edhe OJQ-të.</w:t>
            </w:r>
          </w:p>
          <w:p w:rsidR="00EE180B" w:rsidRPr="00180A8B" w:rsidRDefault="00EE180B" w:rsidP="009406EB">
            <w:pPr>
              <w:spacing w:before="120" w:after="0" w:line="240" w:lineRule="auto"/>
              <w:rPr>
                <w:rFonts w:ascii="Times New Roman" w:hAnsi="Times New Roman" w:cs="Times New Roman"/>
              </w:rPr>
            </w:pPr>
            <w:r w:rsidRPr="00180A8B">
              <w:rPr>
                <w:rFonts w:ascii="Times New Roman" w:hAnsi="Times New Roman" w:cs="Times New Roman"/>
                <w:i/>
              </w:rPr>
              <w:t xml:space="preserve">Duke pas për bazë atë që thuhet në draft PKZMSA tek kapitulli i 3.19 i Statistikave, KCSF rekomandon që në kapitullin Statistikat, të theksohet qartë përkushtimi i Qeverisë që gjatë përmirësimit të infrastrukturës statistikore në bazë të kërkesave të </w:t>
            </w:r>
            <w:r w:rsidRPr="00180A8B">
              <w:rPr>
                <w:rFonts w:ascii="Times New Roman" w:hAnsi="Times New Roman" w:cs="Times New Roman"/>
                <w:i/>
                <w:iCs/>
              </w:rPr>
              <w:t xml:space="preserve">Acquis, </w:t>
            </w:r>
            <w:r w:rsidRPr="00180A8B">
              <w:rPr>
                <w:rFonts w:ascii="Times New Roman" w:hAnsi="Times New Roman" w:cs="Times New Roman"/>
                <w:i/>
              </w:rPr>
              <w:t>nevojave të sektorit, përvojave të rajonit dhe standardeve të EUROSTAT, të përfshihet edhe mbledhja e të dhënave bazike për sektorin e</w:t>
            </w:r>
            <w:r w:rsidRPr="00180A8B">
              <w:rPr>
                <w:rFonts w:ascii="Times New Roman" w:hAnsi="Times New Roman" w:cs="Times New Roman"/>
              </w:rPr>
              <w:t xml:space="preserve"> </w:t>
            </w:r>
            <w:r w:rsidRPr="00180A8B">
              <w:rPr>
                <w:rFonts w:ascii="Times New Roman" w:hAnsi="Times New Roman" w:cs="Times New Roman"/>
                <w:i/>
              </w:rPr>
              <w:t>shoqërisë civile, sidomos për OJQ-të, që janë subjekte juridike të regjistruara bazuar në legjislacionin në fuqi. Gjithashtu duhet të ceket që Qeveria duhet të sigurojë kapacitetet e nevojshme për Agjensionin e Statistikave të Kosovës për të përmbush obligimet në kuadër të mandatit të saj.</w:t>
            </w:r>
          </w:p>
        </w:tc>
        <w:tc>
          <w:tcPr>
            <w:tcW w:w="1260" w:type="dxa"/>
            <w:shd w:val="clear" w:color="auto" w:fill="BDD6EE" w:themeFill="accent1" w:themeFillTint="66"/>
          </w:tcPr>
          <w:p w:rsidR="00EE180B" w:rsidRPr="00180A8B" w:rsidRDefault="00EE180B" w:rsidP="00ED122E">
            <w:pPr>
              <w:tabs>
                <w:tab w:val="center" w:pos="1737"/>
              </w:tabs>
              <w:spacing w:after="0" w:line="240" w:lineRule="auto"/>
              <w:rPr>
                <w:rFonts w:ascii="Times New Roman" w:hAnsi="Times New Roman" w:cs="Times New Roman"/>
              </w:rPr>
            </w:pPr>
            <w:r w:rsidRPr="00180A8B">
              <w:rPr>
                <w:rFonts w:ascii="Times New Roman" w:hAnsi="Times New Roman" w:cs="Times New Roman"/>
              </w:rPr>
              <w:lastRenderedPageBreak/>
              <w:t>KCSF</w:t>
            </w:r>
          </w:p>
        </w:tc>
        <w:tc>
          <w:tcPr>
            <w:tcW w:w="1260" w:type="dxa"/>
            <w:shd w:val="clear" w:color="auto" w:fill="BDD6EE" w:themeFill="accent1" w:themeFillTint="66"/>
          </w:tcPr>
          <w:p w:rsidR="00EE180B" w:rsidRPr="00180A8B" w:rsidRDefault="00EE180B" w:rsidP="00ED122E">
            <w:pPr>
              <w:tabs>
                <w:tab w:val="center" w:pos="1737"/>
              </w:tabs>
              <w:spacing w:after="0" w:line="240" w:lineRule="auto"/>
              <w:rPr>
                <w:rFonts w:ascii="Times New Roman" w:hAnsi="Times New Roman" w:cs="Times New Roman"/>
              </w:rPr>
            </w:pPr>
            <w:r w:rsidRPr="00180A8B">
              <w:rPr>
                <w:rFonts w:ascii="Times New Roman" w:hAnsi="Times New Roman" w:cs="Times New Roman"/>
              </w:rPr>
              <w:t>Nuk pranohet</w:t>
            </w:r>
          </w:p>
        </w:tc>
        <w:tc>
          <w:tcPr>
            <w:tcW w:w="5575" w:type="dxa"/>
            <w:shd w:val="clear" w:color="auto" w:fill="BDD6EE" w:themeFill="accent1" w:themeFillTint="66"/>
          </w:tcPr>
          <w:p w:rsidR="00EE180B" w:rsidRPr="00180A8B" w:rsidRDefault="00EE180B" w:rsidP="00ED122E">
            <w:pPr>
              <w:tabs>
                <w:tab w:val="center" w:pos="1737"/>
              </w:tabs>
              <w:spacing w:after="0" w:line="240" w:lineRule="auto"/>
              <w:rPr>
                <w:rFonts w:ascii="Times New Roman" w:hAnsi="Times New Roman" w:cs="Times New Roman"/>
              </w:rPr>
            </w:pPr>
            <w:r w:rsidRPr="00180A8B">
              <w:rPr>
                <w:rFonts w:ascii="Times New Roman" w:hAnsi="Times New Roman" w:cs="Times New Roman"/>
              </w:rPr>
              <w:t xml:space="preserve">Komenti nuk mund </w:t>
            </w:r>
            <w:r w:rsidR="00154F19" w:rsidRPr="00180A8B">
              <w:rPr>
                <w:rFonts w:ascii="Times New Roman" w:hAnsi="Times New Roman" w:cs="Times New Roman"/>
              </w:rPr>
              <w:t>të</w:t>
            </w:r>
            <w:r w:rsidRPr="00180A8B">
              <w:rPr>
                <w:rFonts w:ascii="Times New Roman" w:hAnsi="Times New Roman" w:cs="Times New Roman"/>
              </w:rPr>
              <w:t xml:space="preserve"> pranohet pasi që ASK aktualisht nuk ka kapacitete për të mbledhur të gjitha këto statistika të cilat i keni specifikuar. Përveç kësaj, një gjë e tillë nuk është detyrim që rrjedh drejtpërsëdrejti nga MSA, ndërsa gjithashtu nuk ekziston një detyrim për ASK-në që të mbledh statistika nga OShC-të dhe për këto të fundit që t’i raportojnë asaj statistika të tilla.</w:t>
            </w:r>
          </w:p>
        </w:tc>
      </w:tr>
      <w:tr w:rsidR="00EE180B" w:rsidRPr="00180A8B" w:rsidTr="00FB010B">
        <w:trPr>
          <w:trHeight w:val="285"/>
        </w:trPr>
        <w:tc>
          <w:tcPr>
            <w:tcW w:w="1665" w:type="dxa"/>
            <w:vMerge/>
            <w:shd w:val="clear" w:color="auto" w:fill="BDD6EE" w:themeFill="accent1" w:themeFillTint="66"/>
          </w:tcPr>
          <w:p w:rsidR="00EE180B" w:rsidRPr="00180A8B" w:rsidRDefault="00EE180B" w:rsidP="00ED122E">
            <w:pPr>
              <w:spacing w:after="0" w:line="240" w:lineRule="auto"/>
              <w:rPr>
                <w:rFonts w:ascii="Times New Roman" w:hAnsi="Times New Roman" w:cs="Times New Roman"/>
                <w:bCs/>
              </w:rPr>
            </w:pPr>
          </w:p>
        </w:tc>
        <w:tc>
          <w:tcPr>
            <w:tcW w:w="4950" w:type="dxa"/>
            <w:shd w:val="clear" w:color="auto" w:fill="BDD6EE" w:themeFill="accent1" w:themeFillTint="66"/>
          </w:tcPr>
          <w:p w:rsidR="00154F19" w:rsidRPr="00180A8B" w:rsidRDefault="00180A8B" w:rsidP="00154F19">
            <w:pPr>
              <w:spacing w:after="0" w:line="240" w:lineRule="auto"/>
              <w:rPr>
                <w:rFonts w:ascii="Times New Roman" w:hAnsi="Times New Roman" w:cs="Times New Roman"/>
              </w:rPr>
            </w:pPr>
            <w:r w:rsidRPr="00180A8B">
              <w:rPr>
                <w:rFonts w:ascii="Times New Roman" w:hAnsi="Times New Roman" w:cs="Times New Roman"/>
                <w:b/>
                <w:bCs/>
              </w:rPr>
              <w:t xml:space="preserve">Kapitulli 23 i Acquis: Gjyqësori dhe të drejtat themelore - seksioni që lidhet me të drejtat themelore, mbrojtjen e pakicave dhe trashëgiminë kulturore </w:t>
            </w:r>
            <w:r w:rsidR="00EE180B" w:rsidRPr="00180A8B">
              <w:rPr>
                <w:rFonts w:ascii="Times New Roman" w:hAnsi="Times New Roman" w:cs="Times New Roman"/>
              </w:rPr>
              <w:t xml:space="preserve">– </w:t>
            </w:r>
            <w:r w:rsidRPr="00180A8B">
              <w:rPr>
                <w:rFonts w:ascii="Times New Roman" w:hAnsi="Times New Roman" w:cs="Times New Roman"/>
              </w:rPr>
              <w:t>kërkon inpute të mëtejshme në planet e qeverisë për rritjen e mbrojtjes së minoriteteve, duke përfshirë identifikimin e zgjidhjeve të qëndrueshme për personat e zhvendosur brenda vendit, kthimin e minoriteteve dhe mbrojtjen e të drejtave të tyre të parashikuara në aktivitete konkrete. Nuk i kushtohet vëmendje këtyre çështjeve në krahasim me mbrojtjen e trashëgimisë kulturore dhe funksionimin e gjyqësorit në përgjithësi</w:t>
            </w:r>
            <w:r w:rsidR="00EE180B" w:rsidRPr="00180A8B">
              <w:rPr>
                <w:rFonts w:ascii="Times New Roman" w:hAnsi="Times New Roman" w:cs="Times New Roman"/>
              </w:rPr>
              <w:t xml:space="preserve">. </w:t>
            </w:r>
          </w:p>
          <w:p w:rsidR="00154F19" w:rsidRPr="00180A8B" w:rsidRDefault="00986BF7" w:rsidP="00154F19">
            <w:pPr>
              <w:spacing w:before="120" w:after="0" w:line="240" w:lineRule="auto"/>
              <w:rPr>
                <w:rFonts w:ascii="Times New Roman" w:hAnsi="Times New Roman" w:cs="Times New Roman"/>
              </w:rPr>
            </w:pPr>
            <w:r w:rsidRPr="00986BF7">
              <w:rPr>
                <w:rFonts w:ascii="Times New Roman" w:hAnsi="Times New Roman" w:cs="Times New Roman"/>
              </w:rPr>
              <w:t xml:space="preserve">Paragrafi në faqen 189 që i referohet zgjidhjeve për të zhvendosurit në strehimoret kolektive do të rishikohet më tej për të përfshirë zhvillimet e vitit </w:t>
            </w:r>
            <w:r w:rsidRPr="00986BF7">
              <w:rPr>
                <w:rFonts w:ascii="Times New Roman" w:hAnsi="Times New Roman" w:cs="Times New Roman"/>
              </w:rPr>
              <w:lastRenderedPageBreak/>
              <w:t>2021, të cilat përfshijnë finalizimin e projektit të strehimit në vendbanimin Bergen në Uglar/Ugljare (Graçanice-Graçanica</w:t>
            </w:r>
            <w:r w:rsidR="00EE180B" w:rsidRPr="00180A8B">
              <w:rPr>
                <w:rFonts w:ascii="Times New Roman" w:hAnsi="Times New Roman" w:cs="Times New Roman"/>
              </w:rPr>
              <w:t xml:space="preserve">). </w:t>
            </w:r>
            <w:r w:rsidRPr="00986BF7">
              <w:rPr>
                <w:rFonts w:ascii="Times New Roman" w:hAnsi="Times New Roman" w:cs="Times New Roman"/>
              </w:rPr>
              <w:t>Në veçanti, sfidat e vazhdueshme në zbatimin e projektit të banimit në Leposaviq/Leposavić dhe Zvecan/Zvečan vazhdojnë, kështu që fondet e BE-së/Ministrisë për Komunitete dhe Kthim (MKK) janë duke u pezulluar për shkak të moszbati</w:t>
            </w:r>
            <w:r>
              <w:rPr>
                <w:rFonts w:ascii="Times New Roman" w:hAnsi="Times New Roman" w:cs="Times New Roman"/>
              </w:rPr>
              <w:t>mit të projektit të planifikuar</w:t>
            </w:r>
            <w:r w:rsidR="00EE180B" w:rsidRPr="00180A8B">
              <w:rPr>
                <w:rFonts w:ascii="Times New Roman" w:hAnsi="Times New Roman" w:cs="Times New Roman"/>
              </w:rPr>
              <w:t xml:space="preserve">. </w:t>
            </w:r>
          </w:p>
          <w:p w:rsidR="00EE180B" w:rsidRPr="00180A8B" w:rsidRDefault="00986BF7" w:rsidP="00154F19">
            <w:pPr>
              <w:spacing w:before="120" w:after="0" w:line="240" w:lineRule="auto"/>
              <w:rPr>
                <w:rFonts w:ascii="Times New Roman" w:hAnsi="Times New Roman" w:cs="Times New Roman"/>
              </w:rPr>
            </w:pPr>
            <w:r w:rsidRPr="00986BF7">
              <w:rPr>
                <w:rFonts w:ascii="Times New Roman" w:hAnsi="Times New Roman" w:cs="Times New Roman"/>
              </w:rPr>
              <w:t xml:space="preserve">Për më tepër, ne besojmë se është thelbësore që Axhenda e Reformës Evropiane (ERA) dhe plani i saj i veprimit të integrohen plotësisht në PKZMSA </w:t>
            </w:r>
            <w:r w:rsidR="00154F19" w:rsidRPr="00180A8B">
              <w:rPr>
                <w:rFonts w:ascii="Times New Roman" w:hAnsi="Times New Roman" w:cs="Times New Roman"/>
                <w:b/>
                <w:bCs/>
              </w:rPr>
              <w:t xml:space="preserve"> </w:t>
            </w:r>
            <w:r w:rsidR="00EE180B" w:rsidRPr="00180A8B">
              <w:rPr>
                <w:rFonts w:ascii="Times New Roman" w:hAnsi="Times New Roman" w:cs="Times New Roman"/>
                <w:b/>
                <w:bCs/>
              </w:rPr>
              <w:t>(</w:t>
            </w:r>
            <w:hyperlink r:id="rId9" w:history="1">
              <w:r w:rsidR="00EE180B" w:rsidRPr="00180A8B">
                <w:rPr>
                  <w:rStyle w:val="Hyperlink"/>
                  <w:rFonts w:ascii="Times New Roman" w:hAnsi="Times New Roman" w:cs="Times New Roman"/>
                  <w:b/>
                  <w:bCs/>
                </w:rPr>
                <w:t>https://kryeministri.rks-gov.net/wp-content/uploads/2021/10/1-PV-ERA-II-miratuar-nga-Kuvendi.pdf</w:t>
              </w:r>
            </w:hyperlink>
            <w:r w:rsidR="00EE180B" w:rsidRPr="00180A8B">
              <w:rPr>
                <w:rFonts w:ascii="Times New Roman" w:hAnsi="Times New Roman" w:cs="Times New Roman"/>
                <w:b/>
                <w:bCs/>
              </w:rPr>
              <w:t xml:space="preserve"> ).</w:t>
            </w:r>
            <w:r w:rsidR="00154F19" w:rsidRPr="00180A8B">
              <w:rPr>
                <w:rFonts w:ascii="Times New Roman" w:hAnsi="Times New Roman" w:cs="Times New Roman"/>
              </w:rPr>
              <w:t xml:space="preserve"> </w:t>
            </w:r>
            <w:r>
              <w:t xml:space="preserve"> </w:t>
            </w:r>
            <w:r w:rsidRPr="00986BF7">
              <w:rPr>
                <w:rFonts w:ascii="Times New Roman" w:hAnsi="Times New Roman" w:cs="Times New Roman"/>
              </w:rPr>
              <w:t>Gjegjësisht, ERA 2, Plani i Veprimit (</w:t>
            </w:r>
            <w:r w:rsidRPr="00986BF7">
              <w:rPr>
                <w:rFonts w:ascii="Times New Roman" w:hAnsi="Times New Roman" w:cs="Times New Roman"/>
                <w:i/>
              </w:rPr>
              <w:t>1.3 Përmirësimi i zbatimit të të drejtave dhe lirive themelore</w:t>
            </w:r>
            <w:r w:rsidRPr="00986BF7">
              <w:rPr>
                <w:rFonts w:ascii="Times New Roman" w:hAnsi="Times New Roman" w:cs="Times New Roman"/>
              </w:rPr>
              <w:t xml:space="preserve">) parasheh veprime specifike të rëndësishme për çështjen e lartpërmendur si p.sh. </w:t>
            </w:r>
            <w:r w:rsidR="00EE180B" w:rsidRPr="00180A8B">
              <w:rPr>
                <w:rFonts w:ascii="Times New Roman" w:hAnsi="Times New Roman" w:cs="Times New Roman"/>
              </w:rPr>
              <w:t xml:space="preserve">: </w:t>
            </w:r>
          </w:p>
          <w:p w:rsidR="00EE180B" w:rsidRPr="00180A8B" w:rsidRDefault="007977B6" w:rsidP="007977B6">
            <w:pPr>
              <w:pStyle w:val="ListParagraph"/>
              <w:numPr>
                <w:ilvl w:val="0"/>
                <w:numId w:val="20"/>
              </w:numPr>
              <w:spacing w:after="0" w:line="240" w:lineRule="auto"/>
              <w:rPr>
                <w:rFonts w:ascii="Times New Roman" w:hAnsi="Times New Roman"/>
                <w:lang w:val="sq-AL"/>
              </w:rPr>
            </w:pPr>
            <w:r w:rsidRPr="007977B6">
              <w:rPr>
                <w:rFonts w:ascii="Times New Roman" w:hAnsi="Times New Roman"/>
                <w:lang w:val="sq-AL"/>
              </w:rPr>
              <w:t xml:space="preserve">Strategjia për mbrojtjen dhe promovimin e të drejtave të komuniteteve dhe pjesëtarëve të tyre 2021-2025, miratuar K4 2021 MKK </w:t>
            </w:r>
            <w:r w:rsidR="00EE180B" w:rsidRPr="00180A8B">
              <w:rPr>
                <w:rFonts w:ascii="Times New Roman" w:hAnsi="Times New Roman"/>
                <w:lang w:val="sq-AL"/>
              </w:rPr>
              <w:t>,</w:t>
            </w:r>
          </w:p>
          <w:p w:rsidR="00EE180B" w:rsidRPr="00180A8B" w:rsidRDefault="007977B6" w:rsidP="007977B6">
            <w:pPr>
              <w:pStyle w:val="ListParagraph"/>
              <w:numPr>
                <w:ilvl w:val="0"/>
                <w:numId w:val="20"/>
              </w:numPr>
              <w:spacing w:after="0" w:line="240" w:lineRule="auto"/>
              <w:rPr>
                <w:rFonts w:ascii="Times New Roman" w:hAnsi="Times New Roman"/>
                <w:lang w:val="sq-AL"/>
              </w:rPr>
            </w:pPr>
            <w:r w:rsidRPr="007977B6">
              <w:rPr>
                <w:rFonts w:ascii="Times New Roman" w:hAnsi="Times New Roman"/>
                <w:lang w:val="sq-AL"/>
              </w:rPr>
              <w:t xml:space="preserve">Grupi Koordinues Ndërministror për zgjidhje të qëndrueshme për Personat e Zhvendosur, themeluar K2 2022 MKK </w:t>
            </w:r>
            <w:r w:rsidR="00EE180B" w:rsidRPr="00180A8B">
              <w:rPr>
                <w:rFonts w:ascii="Times New Roman" w:hAnsi="Times New Roman"/>
                <w:lang w:val="sq-AL"/>
              </w:rPr>
              <w:t xml:space="preserve"> </w:t>
            </w:r>
          </w:p>
          <w:p w:rsidR="00EE180B" w:rsidRPr="00180A8B" w:rsidRDefault="007977B6" w:rsidP="007977B6">
            <w:pPr>
              <w:pStyle w:val="ListParagraph"/>
              <w:numPr>
                <w:ilvl w:val="0"/>
                <w:numId w:val="20"/>
              </w:numPr>
              <w:spacing w:after="0" w:line="240" w:lineRule="auto"/>
              <w:rPr>
                <w:rFonts w:ascii="Times New Roman" w:hAnsi="Times New Roman"/>
                <w:lang w:val="sq-AL"/>
              </w:rPr>
            </w:pPr>
            <w:r w:rsidRPr="007977B6">
              <w:rPr>
                <w:rFonts w:ascii="Times New Roman" w:hAnsi="Times New Roman"/>
                <w:lang w:val="sq-AL"/>
              </w:rPr>
              <w:t xml:space="preserve">Sistemi i menaxhimit të të dhënave në lidhje me personat e zhvendosur dhe të kthyerit i themeluar dhe funksional K2 2022 MKK </w:t>
            </w:r>
            <w:r w:rsidR="00EE180B" w:rsidRPr="00180A8B">
              <w:rPr>
                <w:rFonts w:ascii="Times New Roman" w:hAnsi="Times New Roman"/>
                <w:lang w:val="sq-AL"/>
              </w:rPr>
              <w:t xml:space="preserve"> </w:t>
            </w:r>
          </w:p>
          <w:p w:rsidR="00EE180B" w:rsidRPr="00180A8B" w:rsidRDefault="007977B6" w:rsidP="007977B6">
            <w:pPr>
              <w:pStyle w:val="ListParagraph"/>
              <w:numPr>
                <w:ilvl w:val="0"/>
                <w:numId w:val="20"/>
              </w:numPr>
              <w:spacing w:after="0" w:line="240" w:lineRule="auto"/>
              <w:rPr>
                <w:rFonts w:ascii="Times New Roman" w:hAnsi="Times New Roman"/>
                <w:lang w:val="sq-AL"/>
              </w:rPr>
            </w:pPr>
            <w:r w:rsidRPr="007977B6">
              <w:rPr>
                <w:rFonts w:ascii="Times New Roman" w:hAnsi="Times New Roman"/>
                <w:lang w:val="sq-AL"/>
              </w:rPr>
              <w:t xml:space="preserve">Komisioni Qendror i Ankesave në bazë të Rregullores (QRK) - NR. 01/2018 për kthimin e personave të zhvendosur dhe zgjidhje të qëndrueshme, themeluar K2 2022 MKK </w:t>
            </w:r>
            <w:r w:rsidR="00EE180B" w:rsidRPr="00180A8B">
              <w:rPr>
                <w:rFonts w:ascii="Times New Roman" w:hAnsi="Times New Roman"/>
                <w:lang w:val="sq-AL"/>
              </w:rPr>
              <w:t xml:space="preserve"> </w:t>
            </w:r>
          </w:p>
          <w:p w:rsidR="00EE180B" w:rsidRPr="00180A8B" w:rsidRDefault="007977B6" w:rsidP="007977B6">
            <w:pPr>
              <w:pStyle w:val="ListParagraph"/>
              <w:numPr>
                <w:ilvl w:val="0"/>
                <w:numId w:val="20"/>
              </w:numPr>
              <w:spacing w:after="0" w:line="240" w:lineRule="auto"/>
              <w:rPr>
                <w:rFonts w:ascii="Times New Roman" w:hAnsi="Times New Roman"/>
                <w:lang w:val="sq-AL"/>
              </w:rPr>
            </w:pPr>
            <w:r w:rsidRPr="007977B6">
              <w:rPr>
                <w:rFonts w:ascii="Times New Roman" w:hAnsi="Times New Roman"/>
                <w:lang w:val="sq-AL"/>
              </w:rPr>
              <w:t>• Mbështetja e ndërmarrësisë për gratë që vijnë nga komunitetet joshumicë, e ofruar K4 2022 MKK</w:t>
            </w:r>
          </w:p>
        </w:tc>
        <w:tc>
          <w:tcPr>
            <w:tcW w:w="1260" w:type="dxa"/>
            <w:shd w:val="clear" w:color="auto" w:fill="BDD6EE" w:themeFill="accent1" w:themeFillTint="66"/>
          </w:tcPr>
          <w:p w:rsidR="00EE180B" w:rsidRPr="00180A8B" w:rsidRDefault="00EE180B"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color w:val="000000"/>
                <w:lang w:eastAsia="en-GB"/>
              </w:rPr>
              <w:lastRenderedPageBreak/>
              <w:t>UNHCR</w:t>
            </w:r>
          </w:p>
        </w:tc>
        <w:tc>
          <w:tcPr>
            <w:tcW w:w="1260" w:type="dxa"/>
            <w:shd w:val="clear" w:color="auto" w:fill="BDD6EE" w:themeFill="accent1" w:themeFillTint="66"/>
          </w:tcPr>
          <w:p w:rsidR="00EE180B" w:rsidRPr="00180A8B" w:rsidRDefault="00154F19"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Pranohet pjesërisht</w:t>
            </w:r>
          </w:p>
        </w:tc>
        <w:tc>
          <w:tcPr>
            <w:tcW w:w="5575" w:type="dxa"/>
            <w:shd w:val="clear" w:color="auto" w:fill="BDD6EE" w:themeFill="accent1" w:themeFillTint="66"/>
          </w:tcPr>
          <w:p w:rsidR="00EE180B" w:rsidRPr="00180A8B" w:rsidRDefault="008C79C9" w:rsidP="00ED122E">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Disa nga treguesit e PV ERA II, të rekomanduar në këtë koment për t’u përfshirë në PKZMSA 2022-20226 janë përfshirë në versionin final të miratuar nga Kuvendi. Këta janë:</w:t>
            </w:r>
          </w:p>
          <w:p w:rsidR="008C79C9" w:rsidRPr="00180A8B" w:rsidRDefault="008C79C9" w:rsidP="008C79C9">
            <w:pPr>
              <w:pStyle w:val="ListParagraph"/>
              <w:numPr>
                <w:ilvl w:val="0"/>
                <w:numId w:val="22"/>
              </w:numPr>
              <w:tabs>
                <w:tab w:val="center" w:pos="1737"/>
              </w:tabs>
              <w:spacing w:after="0" w:line="240" w:lineRule="auto"/>
              <w:rPr>
                <w:rFonts w:ascii="Times New Roman" w:hAnsi="Times New Roman"/>
                <w:bCs/>
                <w:lang w:val="sq-AL"/>
              </w:rPr>
            </w:pPr>
            <w:r w:rsidRPr="00180A8B">
              <w:rPr>
                <w:rFonts w:ascii="Times New Roman" w:eastAsia="Times New Roman" w:hAnsi="Times New Roman"/>
                <w:color w:val="000000" w:themeColor="text1"/>
                <w:lang w:val="sq-AL"/>
              </w:rPr>
              <w:t>Strategjia për mbrojtjen dhe promovimin e të drejtave të komuniteteve dhe pjesëtarëve të tyre, e miratuar (afati: K2 2022) (fq. 279)</w:t>
            </w:r>
            <w:r w:rsidR="006F1D98" w:rsidRPr="00180A8B">
              <w:rPr>
                <w:rFonts w:ascii="Times New Roman" w:eastAsia="Times New Roman" w:hAnsi="Times New Roman"/>
                <w:color w:val="000000" w:themeColor="text1"/>
                <w:lang w:val="sq-AL"/>
              </w:rPr>
              <w:t xml:space="preserve"> (institucioni përgjegjës – MKK)</w:t>
            </w:r>
            <w:r w:rsidRPr="00180A8B">
              <w:rPr>
                <w:rFonts w:ascii="Times New Roman" w:eastAsia="Times New Roman" w:hAnsi="Times New Roman"/>
                <w:color w:val="000000" w:themeColor="text1"/>
                <w:lang w:val="sq-AL"/>
              </w:rPr>
              <w:t>;</w:t>
            </w:r>
          </w:p>
          <w:p w:rsidR="008C79C9" w:rsidRPr="00180A8B" w:rsidRDefault="008C79C9" w:rsidP="008C79C9">
            <w:pPr>
              <w:pStyle w:val="ListParagraph"/>
              <w:numPr>
                <w:ilvl w:val="0"/>
                <w:numId w:val="22"/>
              </w:numPr>
              <w:tabs>
                <w:tab w:val="center" w:pos="1737"/>
              </w:tabs>
              <w:spacing w:after="0" w:line="240" w:lineRule="auto"/>
              <w:rPr>
                <w:rFonts w:ascii="Times New Roman" w:hAnsi="Times New Roman"/>
                <w:bCs/>
                <w:lang w:val="sq-AL"/>
              </w:rPr>
            </w:pPr>
            <w:r w:rsidRPr="00180A8B">
              <w:rPr>
                <w:rFonts w:ascii="Times New Roman" w:eastAsia="Times New Roman" w:hAnsi="Times New Roman"/>
                <w:color w:val="000000" w:themeColor="text1"/>
                <w:lang w:val="sq-AL"/>
              </w:rPr>
              <w:t>Sistemi për menaxhimin e rasteve për personat e zhvendosur, i funksionalizuar (afati: K2 2022) (fq. 288)</w:t>
            </w:r>
            <w:r w:rsidR="006F1D98" w:rsidRPr="00180A8B">
              <w:rPr>
                <w:rFonts w:ascii="Times New Roman" w:eastAsia="Times New Roman" w:hAnsi="Times New Roman"/>
                <w:color w:val="000000" w:themeColor="text1"/>
                <w:lang w:val="sq-AL"/>
              </w:rPr>
              <w:t xml:space="preserve"> (institucioni përgjegjës – MKK)</w:t>
            </w:r>
            <w:r w:rsidRPr="00180A8B">
              <w:rPr>
                <w:rFonts w:ascii="Times New Roman" w:eastAsia="Times New Roman" w:hAnsi="Times New Roman"/>
                <w:color w:val="000000" w:themeColor="text1"/>
                <w:lang w:val="sq-AL"/>
              </w:rPr>
              <w:t>;</w:t>
            </w:r>
          </w:p>
        </w:tc>
      </w:tr>
      <w:tr w:rsidR="008C79C9" w:rsidRPr="00180A8B" w:rsidTr="00FB010B">
        <w:trPr>
          <w:trHeight w:val="285"/>
        </w:trPr>
        <w:tc>
          <w:tcPr>
            <w:tcW w:w="1665" w:type="dxa"/>
            <w:vMerge/>
            <w:shd w:val="clear" w:color="auto" w:fill="BDD6EE" w:themeFill="accent1" w:themeFillTint="66"/>
          </w:tcPr>
          <w:p w:rsidR="008C79C9" w:rsidRPr="00180A8B" w:rsidRDefault="008C79C9" w:rsidP="008C79C9">
            <w:pPr>
              <w:spacing w:after="0" w:line="240" w:lineRule="auto"/>
              <w:rPr>
                <w:rFonts w:ascii="Times New Roman" w:hAnsi="Times New Roman" w:cs="Times New Roman"/>
                <w:bCs/>
              </w:rPr>
            </w:pPr>
          </w:p>
        </w:tc>
        <w:tc>
          <w:tcPr>
            <w:tcW w:w="4950" w:type="dxa"/>
            <w:shd w:val="clear" w:color="auto" w:fill="BDD6EE" w:themeFill="accent1" w:themeFillTint="66"/>
          </w:tcPr>
          <w:p w:rsidR="008C79C9" w:rsidRPr="00180A8B" w:rsidRDefault="00EC75DD" w:rsidP="008C79C9">
            <w:pPr>
              <w:spacing w:after="0" w:line="240" w:lineRule="auto"/>
              <w:rPr>
                <w:rFonts w:ascii="Times New Roman" w:hAnsi="Times New Roman" w:cs="Times New Roman"/>
              </w:rPr>
            </w:pPr>
            <w:r w:rsidRPr="00EC75DD">
              <w:rPr>
                <w:rFonts w:ascii="Times New Roman" w:hAnsi="Times New Roman" w:cs="Times New Roman"/>
                <w:b/>
                <w:bCs/>
              </w:rPr>
              <w:t>Kapitulli 24 i acquis: Drejtësia, liritë dhe siguria</w:t>
            </w:r>
          </w:p>
          <w:p w:rsidR="008C79C9" w:rsidRPr="00180A8B" w:rsidRDefault="00EC75DD" w:rsidP="008C79C9">
            <w:pPr>
              <w:spacing w:before="120" w:after="0" w:line="240" w:lineRule="auto"/>
              <w:rPr>
                <w:rFonts w:ascii="Times New Roman" w:hAnsi="Times New Roman" w:cs="Times New Roman"/>
              </w:rPr>
            </w:pPr>
            <w:r w:rsidRPr="00EC75DD">
              <w:rPr>
                <w:rFonts w:ascii="Times New Roman" w:hAnsi="Times New Roman" w:cs="Times New Roman"/>
              </w:rPr>
              <w:t>Është thelbësore që seksioni i PKZMSA-së (objektivat prioritare afatmesme fq. 210) në lidhje me menaxhimin e kufirit migracioni dhe azili të përfshijë aktivitetet e planifikuara të renditura në Planin e Veprimit ERA 2 (</w:t>
            </w:r>
            <w:r w:rsidRPr="00EC75DD">
              <w:rPr>
                <w:rFonts w:ascii="Times New Roman" w:hAnsi="Times New Roman" w:cs="Times New Roman"/>
                <w:i/>
              </w:rPr>
              <w:t>d. Përmirësimi i mëtejshëm i kuadrit në fushën e migracionit dhe azilit në përputhje me standardet ndërkombëtare dhe evropiane</w:t>
            </w:r>
            <w:r w:rsidRPr="00EC75DD">
              <w:rPr>
                <w:rFonts w:ascii="Times New Roman" w:hAnsi="Times New Roman" w:cs="Times New Roman"/>
              </w:rPr>
              <w:t>), si dhe në matricën përkatëse, si p.sh</w:t>
            </w:r>
            <w:r w:rsidR="008C79C9" w:rsidRPr="00180A8B">
              <w:rPr>
                <w:rFonts w:ascii="Times New Roman" w:hAnsi="Times New Roman" w:cs="Times New Roman"/>
              </w:rPr>
              <w:t>:</w:t>
            </w:r>
          </w:p>
          <w:p w:rsidR="008C79C9" w:rsidRPr="00180A8B" w:rsidRDefault="00EC75DD" w:rsidP="00EC75DD">
            <w:pPr>
              <w:pStyle w:val="ListParagraph"/>
              <w:numPr>
                <w:ilvl w:val="0"/>
                <w:numId w:val="21"/>
              </w:numPr>
              <w:spacing w:after="0" w:line="240" w:lineRule="auto"/>
              <w:rPr>
                <w:rFonts w:ascii="Times New Roman" w:hAnsi="Times New Roman"/>
                <w:lang w:val="sq-AL"/>
              </w:rPr>
            </w:pPr>
            <w:r w:rsidRPr="00EC75DD">
              <w:rPr>
                <w:rFonts w:ascii="Times New Roman" w:hAnsi="Times New Roman"/>
                <w:lang w:val="sq-AL"/>
              </w:rPr>
              <w:t>Kapacitetet për përcaktimin e statusit të refugjatit, i përmirësuar K4 2021-K4 2022/MPB</w:t>
            </w:r>
          </w:p>
          <w:p w:rsidR="008C79C9" w:rsidRPr="00180A8B" w:rsidRDefault="00790721" w:rsidP="00790721">
            <w:pPr>
              <w:pStyle w:val="ListParagraph"/>
              <w:numPr>
                <w:ilvl w:val="0"/>
                <w:numId w:val="21"/>
              </w:numPr>
              <w:spacing w:before="240" w:after="0" w:line="240" w:lineRule="auto"/>
              <w:rPr>
                <w:rFonts w:ascii="Times New Roman" w:hAnsi="Times New Roman"/>
                <w:lang w:val="sq-AL"/>
              </w:rPr>
            </w:pPr>
            <w:r w:rsidRPr="00790721">
              <w:rPr>
                <w:rFonts w:ascii="Times New Roman" w:hAnsi="Times New Roman"/>
                <w:lang w:val="sq-AL"/>
              </w:rPr>
              <w:t>Masat integruese për refugjatët, zbatuar K4 2022/ MPB</w:t>
            </w:r>
          </w:p>
          <w:p w:rsidR="008C79C9" w:rsidRPr="00180A8B" w:rsidRDefault="00790721" w:rsidP="00790721">
            <w:pPr>
              <w:pStyle w:val="ListParagraph"/>
              <w:numPr>
                <w:ilvl w:val="0"/>
                <w:numId w:val="21"/>
              </w:numPr>
              <w:spacing w:before="240" w:after="0" w:line="240" w:lineRule="auto"/>
              <w:rPr>
                <w:rFonts w:ascii="Times New Roman" w:hAnsi="Times New Roman"/>
                <w:lang w:val="sq-AL"/>
              </w:rPr>
            </w:pPr>
            <w:r w:rsidRPr="00790721">
              <w:rPr>
                <w:rFonts w:ascii="Times New Roman" w:hAnsi="Times New Roman"/>
                <w:lang w:val="sq-AL"/>
              </w:rPr>
              <w:t>Masa efektive dhe konkrete mbrojtëse për individët jashtëzakonisht të cenueshëm në mesin e azilkërkuesve, të ndërmarra K4 2022 MPB/</w:t>
            </w:r>
            <w:r w:rsidR="00EF07F0" w:rsidRPr="00234F20">
              <w:rPr>
                <w:rFonts w:ascii="Times New Roman" w:hAnsi="Times New Roman"/>
                <w:lang w:val="sq-AL"/>
              </w:rPr>
              <w:t>MFP</w:t>
            </w:r>
            <w:r w:rsidRPr="00234F20">
              <w:rPr>
                <w:rFonts w:ascii="Times New Roman" w:hAnsi="Times New Roman"/>
                <w:lang w:val="sq-AL"/>
              </w:rPr>
              <w:t>T</w:t>
            </w:r>
          </w:p>
          <w:p w:rsidR="008C79C9" w:rsidRPr="00180A8B" w:rsidRDefault="00A219E5" w:rsidP="00A219E5">
            <w:pPr>
              <w:pStyle w:val="ListParagraph"/>
              <w:numPr>
                <w:ilvl w:val="0"/>
                <w:numId w:val="21"/>
              </w:numPr>
              <w:spacing w:before="240" w:after="0" w:line="240" w:lineRule="auto"/>
              <w:rPr>
                <w:rFonts w:ascii="Times New Roman" w:hAnsi="Times New Roman"/>
                <w:lang w:val="sq-AL"/>
              </w:rPr>
            </w:pPr>
            <w:r w:rsidRPr="00A219E5">
              <w:rPr>
                <w:rFonts w:ascii="Times New Roman" w:hAnsi="Times New Roman"/>
                <w:lang w:val="sq-AL"/>
              </w:rPr>
              <w:t>Krijimi dhe funksionalizimi i mekanizmit sistematik për mbrojtjen e azilkërkuesve dhe fë</w:t>
            </w:r>
            <w:r w:rsidR="00EF07F0">
              <w:rPr>
                <w:rFonts w:ascii="Times New Roman" w:hAnsi="Times New Roman"/>
                <w:lang w:val="sq-AL"/>
              </w:rPr>
              <w:t>mijëve refugjatë K4 2021 MPB/MFP</w:t>
            </w:r>
            <w:r w:rsidRPr="00A219E5">
              <w:rPr>
                <w:rFonts w:ascii="Times New Roman" w:hAnsi="Times New Roman"/>
                <w:lang w:val="sq-AL"/>
              </w:rPr>
              <w:t>T</w:t>
            </w:r>
          </w:p>
          <w:p w:rsidR="008C79C9" w:rsidRPr="00180A8B" w:rsidRDefault="00A219E5" w:rsidP="00A219E5">
            <w:pPr>
              <w:pStyle w:val="ListParagraph"/>
              <w:numPr>
                <w:ilvl w:val="0"/>
                <w:numId w:val="21"/>
              </w:numPr>
              <w:spacing w:before="240" w:after="0" w:line="240" w:lineRule="auto"/>
              <w:rPr>
                <w:rFonts w:ascii="Times New Roman" w:hAnsi="Times New Roman"/>
                <w:lang w:val="sq-AL"/>
              </w:rPr>
            </w:pPr>
            <w:r w:rsidRPr="00A219E5">
              <w:rPr>
                <w:rFonts w:ascii="Times New Roman" w:hAnsi="Times New Roman"/>
                <w:lang w:val="sq-AL"/>
              </w:rPr>
              <w:t>Regjistrimi biometrik i azilkërkuesve, funksional K4 2022/MPB</w:t>
            </w:r>
          </w:p>
          <w:p w:rsidR="008C79C9" w:rsidRPr="00180A8B" w:rsidRDefault="00234F20" w:rsidP="00234F20">
            <w:pPr>
              <w:pStyle w:val="ListParagraph"/>
              <w:numPr>
                <w:ilvl w:val="0"/>
                <w:numId w:val="21"/>
              </w:numPr>
              <w:spacing w:before="240" w:after="0" w:line="240" w:lineRule="auto"/>
              <w:rPr>
                <w:rFonts w:ascii="Times New Roman" w:hAnsi="Times New Roman"/>
                <w:lang w:val="sq-AL"/>
              </w:rPr>
            </w:pPr>
            <w:r w:rsidRPr="00234F20">
              <w:rPr>
                <w:rFonts w:ascii="Times New Roman" w:hAnsi="Times New Roman"/>
                <w:lang w:val="sq-AL"/>
              </w:rPr>
              <w:t>Ngritja e kapaciteteve për pritjen dhe menaxhimin e flukseve të migrantëve</w:t>
            </w:r>
          </w:p>
          <w:p w:rsidR="008C79C9" w:rsidRPr="00180A8B" w:rsidRDefault="00234F20" w:rsidP="00234F20">
            <w:pPr>
              <w:pStyle w:val="ListParagraph"/>
              <w:numPr>
                <w:ilvl w:val="0"/>
                <w:numId w:val="21"/>
              </w:numPr>
              <w:spacing w:before="240" w:after="0" w:line="240" w:lineRule="auto"/>
              <w:rPr>
                <w:rFonts w:ascii="Times New Roman" w:hAnsi="Times New Roman"/>
                <w:lang w:val="sq-AL"/>
              </w:rPr>
            </w:pPr>
            <w:r w:rsidRPr="00234F20">
              <w:rPr>
                <w:rFonts w:ascii="Times New Roman" w:hAnsi="Times New Roman"/>
                <w:lang w:val="sq-AL"/>
              </w:rPr>
              <w:t>Procedurat e duhura të identifikimit, regjistrimit dhe referimit për migrantët e ardhur brenda policisë kufitare, të zhvilluara dhe zbatuara K4 2021 MPB</w:t>
            </w:r>
          </w:p>
          <w:p w:rsidR="008C79C9" w:rsidRPr="00180A8B" w:rsidRDefault="00234F20" w:rsidP="00234F20">
            <w:pPr>
              <w:pStyle w:val="ListParagraph"/>
              <w:numPr>
                <w:ilvl w:val="0"/>
                <w:numId w:val="21"/>
              </w:numPr>
              <w:spacing w:before="240" w:after="0" w:line="240" w:lineRule="auto"/>
              <w:rPr>
                <w:rFonts w:ascii="Times New Roman" w:hAnsi="Times New Roman"/>
                <w:lang w:val="sq-AL"/>
              </w:rPr>
            </w:pPr>
            <w:r w:rsidRPr="00234F20">
              <w:rPr>
                <w:rFonts w:ascii="Times New Roman" w:hAnsi="Times New Roman"/>
                <w:lang w:val="sq-AL"/>
              </w:rPr>
              <w:t>• Planet e emergjencës me përcaktim të qartë të roleve, mandateve, përgjegjësive dhe shkaqeve të fluksit, azhurnuar K4 2021 MPB</w:t>
            </w:r>
          </w:p>
          <w:p w:rsidR="008C79C9" w:rsidRPr="00180A8B" w:rsidRDefault="00234F20" w:rsidP="008C79C9">
            <w:pPr>
              <w:spacing w:before="120" w:after="0" w:line="240" w:lineRule="auto"/>
              <w:rPr>
                <w:rFonts w:ascii="Times New Roman" w:hAnsi="Times New Roman" w:cs="Times New Roman"/>
                <w:b/>
                <w:u w:val="single"/>
              </w:rPr>
            </w:pPr>
            <w:r w:rsidRPr="00234F20">
              <w:rPr>
                <w:rFonts w:ascii="Times New Roman" w:hAnsi="Times New Roman" w:cs="Times New Roman"/>
              </w:rPr>
              <w:t xml:space="preserve">Ju lutemi të keni parasysh se aktivitetet e renditura të parashikuara në Planin e Veprimit ERA 2 për të dy </w:t>
            </w:r>
            <w:r w:rsidRPr="00234F20">
              <w:rPr>
                <w:rFonts w:ascii="Times New Roman" w:hAnsi="Times New Roman" w:cs="Times New Roman"/>
              </w:rPr>
              <w:lastRenderedPageBreak/>
              <w:t>kapitujt nuk janë finalizuar në përputhje me planin dhe shumica e tyre janë vonuar për vitin 2022.</w:t>
            </w:r>
            <w:r w:rsidR="008C79C9" w:rsidRPr="00180A8B">
              <w:rPr>
                <w:rFonts w:ascii="Times New Roman" w:hAnsi="Times New Roman" w:cs="Times New Roman"/>
              </w:rPr>
              <w:t>.</w:t>
            </w:r>
          </w:p>
        </w:tc>
        <w:tc>
          <w:tcPr>
            <w:tcW w:w="1260" w:type="dxa"/>
            <w:shd w:val="clear" w:color="auto" w:fill="BDD6EE" w:themeFill="accent1" w:themeFillTint="66"/>
          </w:tcPr>
          <w:p w:rsidR="008C79C9" w:rsidRPr="00180A8B" w:rsidRDefault="008C79C9" w:rsidP="008C79C9">
            <w:pPr>
              <w:tabs>
                <w:tab w:val="center" w:pos="1737"/>
              </w:tabs>
              <w:spacing w:after="0" w:line="240" w:lineRule="auto"/>
              <w:rPr>
                <w:rFonts w:ascii="Times New Roman" w:hAnsi="Times New Roman" w:cs="Times New Roman"/>
                <w:bCs/>
              </w:rPr>
            </w:pPr>
            <w:r w:rsidRPr="00180A8B">
              <w:rPr>
                <w:rFonts w:ascii="Times New Roman" w:hAnsi="Times New Roman" w:cs="Times New Roman"/>
                <w:color w:val="000000"/>
                <w:lang w:eastAsia="en-GB"/>
              </w:rPr>
              <w:lastRenderedPageBreak/>
              <w:t>UNHCR</w:t>
            </w:r>
          </w:p>
        </w:tc>
        <w:tc>
          <w:tcPr>
            <w:tcW w:w="1260" w:type="dxa"/>
            <w:shd w:val="clear" w:color="auto" w:fill="BDD6EE" w:themeFill="accent1" w:themeFillTint="66"/>
          </w:tcPr>
          <w:p w:rsidR="008C79C9" w:rsidRPr="00180A8B" w:rsidRDefault="008C79C9" w:rsidP="008C79C9">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Pranohet pjesërisht</w:t>
            </w:r>
          </w:p>
        </w:tc>
        <w:tc>
          <w:tcPr>
            <w:tcW w:w="5575" w:type="dxa"/>
            <w:shd w:val="clear" w:color="auto" w:fill="BDD6EE" w:themeFill="accent1" w:themeFillTint="66"/>
          </w:tcPr>
          <w:p w:rsidR="008C79C9" w:rsidRPr="00180A8B" w:rsidRDefault="008C79C9" w:rsidP="008C79C9">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Disa nga treguesit e PV ERA II, të rekomanduar në këtë koment për t’u përfshirë në PKZMSA 2022-20226 janë përfshirë në versionin final të miratuar nga Kuvendi. Këta janë:</w:t>
            </w:r>
          </w:p>
          <w:p w:rsidR="008C79C9" w:rsidRPr="00180A8B" w:rsidRDefault="006F1D98" w:rsidP="006F1D98">
            <w:pPr>
              <w:pStyle w:val="ListParagraph"/>
              <w:numPr>
                <w:ilvl w:val="0"/>
                <w:numId w:val="22"/>
              </w:numPr>
              <w:tabs>
                <w:tab w:val="center" w:pos="1737"/>
              </w:tabs>
              <w:spacing w:after="0" w:line="240" w:lineRule="auto"/>
              <w:rPr>
                <w:rFonts w:ascii="Times New Roman" w:hAnsi="Times New Roman"/>
                <w:bCs/>
                <w:lang w:val="sq-AL"/>
              </w:rPr>
            </w:pPr>
            <w:r w:rsidRPr="00180A8B">
              <w:rPr>
                <w:rFonts w:ascii="Times New Roman" w:eastAsia="Times New Roman" w:hAnsi="Times New Roman"/>
                <w:color w:val="000000" w:themeColor="text1"/>
                <w:lang w:val="sq-AL"/>
              </w:rPr>
              <w:t>Tri (3) trajnime për përcaktimin e statusit të refugjatëve, të organizuara (afati: K4 2022) (fq. 283) (institucioni përgjegjës – MPB);</w:t>
            </w:r>
          </w:p>
          <w:p w:rsidR="006F1D98" w:rsidRPr="00180A8B" w:rsidRDefault="006F1D98" w:rsidP="006F1D98">
            <w:pPr>
              <w:pStyle w:val="ListParagraph"/>
              <w:numPr>
                <w:ilvl w:val="0"/>
                <w:numId w:val="22"/>
              </w:numPr>
              <w:tabs>
                <w:tab w:val="center" w:pos="1737"/>
              </w:tabs>
              <w:spacing w:after="0" w:line="240" w:lineRule="auto"/>
              <w:rPr>
                <w:rFonts w:ascii="Times New Roman" w:hAnsi="Times New Roman"/>
                <w:bCs/>
                <w:lang w:val="sq-AL"/>
              </w:rPr>
            </w:pPr>
            <w:r w:rsidRPr="00180A8B">
              <w:rPr>
                <w:rFonts w:ascii="Times New Roman" w:eastAsia="Times New Roman" w:hAnsi="Times New Roman"/>
                <w:color w:val="000000" w:themeColor="text1"/>
                <w:lang w:val="sq-AL"/>
              </w:rPr>
              <w:t>Qendra e Pritjes së Përkohshme, e funksionalizuar përmes angazhimit të stafit, sigurimit fizik të objektit dhe trajnime për stafin (afati: K4 2022) (fq. 283) (institucioni përgjegjës – MPB);</w:t>
            </w:r>
          </w:p>
          <w:p w:rsidR="006F1D98" w:rsidRPr="00180A8B" w:rsidRDefault="006F1D98" w:rsidP="006F1D98">
            <w:pPr>
              <w:pStyle w:val="ListParagraph"/>
              <w:numPr>
                <w:ilvl w:val="0"/>
                <w:numId w:val="22"/>
              </w:numPr>
              <w:tabs>
                <w:tab w:val="center" w:pos="1737"/>
              </w:tabs>
              <w:spacing w:after="0" w:line="240" w:lineRule="auto"/>
              <w:rPr>
                <w:rFonts w:ascii="Times New Roman" w:hAnsi="Times New Roman"/>
                <w:bCs/>
                <w:lang w:val="sq-AL"/>
              </w:rPr>
            </w:pPr>
            <w:r w:rsidRPr="00180A8B">
              <w:rPr>
                <w:rFonts w:ascii="Times New Roman" w:hAnsi="Times New Roman"/>
                <w:color w:val="000000" w:themeColor="text1"/>
                <w:lang w:val="sq-AL"/>
              </w:rPr>
              <w:t xml:space="preserve">Masat e integrimit për refugjatët, të zbatuara </w:t>
            </w:r>
            <w:r w:rsidRPr="00180A8B">
              <w:rPr>
                <w:rFonts w:ascii="Times New Roman" w:eastAsia="Times New Roman" w:hAnsi="Times New Roman"/>
                <w:color w:val="000000" w:themeColor="text1"/>
                <w:lang w:val="sq-AL"/>
              </w:rPr>
              <w:t>(afati: K4 2022) (fq. 284) (institucioni përgjegjës – MPB);</w:t>
            </w:r>
          </w:p>
          <w:p w:rsidR="006F1D98" w:rsidRPr="00180A8B" w:rsidRDefault="006F1D98" w:rsidP="006F1D98">
            <w:pPr>
              <w:pStyle w:val="ListParagraph"/>
              <w:numPr>
                <w:ilvl w:val="0"/>
                <w:numId w:val="22"/>
              </w:numPr>
              <w:tabs>
                <w:tab w:val="center" w:pos="1737"/>
              </w:tabs>
              <w:spacing w:after="0" w:line="240" w:lineRule="auto"/>
              <w:rPr>
                <w:rFonts w:ascii="Times New Roman" w:hAnsi="Times New Roman"/>
                <w:bCs/>
                <w:lang w:val="sq-AL"/>
              </w:rPr>
            </w:pPr>
            <w:r w:rsidRPr="00180A8B">
              <w:rPr>
                <w:rFonts w:ascii="Times New Roman" w:hAnsi="Times New Roman"/>
                <w:color w:val="000000" w:themeColor="text1"/>
                <w:lang w:val="sq-AL"/>
              </w:rPr>
              <w:t xml:space="preserve">Regjistrimi biometrik i azilkërkuesve, funksional </w:t>
            </w:r>
            <w:r w:rsidRPr="00180A8B">
              <w:rPr>
                <w:rFonts w:ascii="Times New Roman" w:eastAsia="Times New Roman" w:hAnsi="Times New Roman"/>
                <w:color w:val="000000" w:themeColor="text1"/>
                <w:lang w:val="sq-AL"/>
              </w:rPr>
              <w:t>(afati: K4 2022) (fq. 284) (institucioni përgjegjës – MPB);</w:t>
            </w:r>
          </w:p>
          <w:p w:rsidR="006F1D98" w:rsidRPr="00180A8B" w:rsidRDefault="006F1D98" w:rsidP="006F1D98">
            <w:pPr>
              <w:pStyle w:val="ListParagraph"/>
              <w:numPr>
                <w:ilvl w:val="0"/>
                <w:numId w:val="22"/>
              </w:numPr>
              <w:tabs>
                <w:tab w:val="center" w:pos="1737"/>
              </w:tabs>
              <w:spacing w:after="0" w:line="240" w:lineRule="auto"/>
              <w:rPr>
                <w:rFonts w:ascii="Times New Roman" w:hAnsi="Times New Roman"/>
                <w:bCs/>
                <w:lang w:val="sq-AL"/>
              </w:rPr>
            </w:pPr>
            <w:r w:rsidRPr="00180A8B">
              <w:rPr>
                <w:rFonts w:ascii="Times New Roman" w:eastAsia="Times New Roman" w:hAnsi="Times New Roman"/>
                <w:color w:val="000000" w:themeColor="text1"/>
                <w:lang w:val="sq-AL"/>
              </w:rPr>
              <w:t>Udhëzuesi për parandalimin, menaxhimin e rrezikut dhe përgjigjen ndaj dhun</w:t>
            </w:r>
            <w:r w:rsidRPr="00180A8B">
              <w:rPr>
                <w:rFonts w:ascii="Times New Roman" w:eastAsia="Times New Roman" w:hAnsi="Times New Roman"/>
                <w:b/>
                <w:bCs/>
                <w:color w:val="000000" w:themeColor="text1"/>
                <w:lang w:val="sq-AL"/>
              </w:rPr>
              <w:t>ë</w:t>
            </w:r>
            <w:r w:rsidRPr="00180A8B">
              <w:rPr>
                <w:rFonts w:ascii="Times New Roman" w:eastAsia="Times New Roman" w:hAnsi="Times New Roman"/>
                <w:color w:val="000000" w:themeColor="text1"/>
                <w:lang w:val="sq-AL"/>
              </w:rPr>
              <w:t>s në baza gjinore në kontekst të migracionit të përzier, i hartuar (afati: K4 2022) (fq. 284) (institucioni përgjegjës – MPB);</w:t>
            </w:r>
          </w:p>
          <w:p w:rsidR="006F1D98" w:rsidRPr="00180A8B" w:rsidRDefault="006F1D98" w:rsidP="006F1D98">
            <w:pPr>
              <w:pStyle w:val="ListParagraph"/>
              <w:numPr>
                <w:ilvl w:val="0"/>
                <w:numId w:val="22"/>
              </w:numPr>
              <w:tabs>
                <w:tab w:val="center" w:pos="1737"/>
              </w:tabs>
              <w:spacing w:after="0" w:line="240" w:lineRule="auto"/>
              <w:rPr>
                <w:rFonts w:ascii="Times New Roman" w:hAnsi="Times New Roman"/>
                <w:bCs/>
                <w:lang w:val="sq-AL"/>
              </w:rPr>
            </w:pPr>
            <w:r w:rsidRPr="00180A8B">
              <w:rPr>
                <w:rFonts w:ascii="Times New Roman" w:eastAsia="Times New Roman" w:hAnsi="Times New Roman"/>
                <w:color w:val="000000" w:themeColor="text1"/>
                <w:lang w:val="sq-AL"/>
              </w:rPr>
              <w:t>Udhëzuesi për qasjen e të huajve në aftësim profesional dhe punësim, i hartuar (afati: K4 2022) (fq. 284) (institucioni përgjegjës – MPB);</w:t>
            </w:r>
          </w:p>
          <w:p w:rsidR="008C79C9" w:rsidRPr="00180A8B" w:rsidRDefault="008C79C9" w:rsidP="008C79C9">
            <w:pPr>
              <w:tabs>
                <w:tab w:val="center" w:pos="1737"/>
              </w:tabs>
              <w:spacing w:after="0" w:line="240" w:lineRule="auto"/>
              <w:rPr>
                <w:rFonts w:ascii="Times New Roman" w:hAnsi="Times New Roman"/>
                <w:bCs/>
              </w:rPr>
            </w:pPr>
          </w:p>
        </w:tc>
      </w:tr>
      <w:tr w:rsidR="008C79C9" w:rsidRPr="00180A8B" w:rsidTr="00154F19">
        <w:trPr>
          <w:trHeight w:val="20"/>
        </w:trPr>
        <w:tc>
          <w:tcPr>
            <w:tcW w:w="1665" w:type="dxa"/>
            <w:vMerge/>
            <w:shd w:val="clear" w:color="auto" w:fill="BDD6EE" w:themeFill="accent1" w:themeFillTint="66"/>
          </w:tcPr>
          <w:p w:rsidR="008C79C9" w:rsidRPr="00180A8B" w:rsidRDefault="008C79C9" w:rsidP="008C79C9">
            <w:pPr>
              <w:spacing w:after="0" w:line="240" w:lineRule="auto"/>
              <w:rPr>
                <w:rFonts w:ascii="Times New Roman" w:hAnsi="Times New Roman" w:cs="Times New Roman"/>
                <w:bCs/>
              </w:rPr>
            </w:pPr>
          </w:p>
        </w:tc>
        <w:tc>
          <w:tcPr>
            <w:tcW w:w="4950" w:type="dxa"/>
            <w:shd w:val="clear" w:color="auto" w:fill="BDD6EE" w:themeFill="accent1" w:themeFillTint="66"/>
          </w:tcPr>
          <w:p w:rsidR="008C79C9" w:rsidRPr="00180A8B" w:rsidRDefault="008C79C9" w:rsidP="008C79C9">
            <w:pPr>
              <w:spacing w:after="0" w:line="240" w:lineRule="auto"/>
              <w:rPr>
                <w:rFonts w:ascii="Times New Roman" w:hAnsi="Times New Roman" w:cs="Times New Roman"/>
              </w:rPr>
            </w:pPr>
            <w:r w:rsidRPr="00180A8B">
              <w:rPr>
                <w:rFonts w:ascii="Times New Roman" w:hAnsi="Times New Roman" w:cs="Times New Roman"/>
                <w:b/>
              </w:rPr>
              <w:t>Luftimi i shpëlarjes së parave dhe financimit të terrorizimit</w:t>
            </w:r>
          </w:p>
          <w:p w:rsidR="008C79C9" w:rsidRPr="00180A8B" w:rsidRDefault="008C79C9" w:rsidP="008C79C9">
            <w:pPr>
              <w:spacing w:before="120" w:after="0" w:line="240" w:lineRule="auto"/>
              <w:rPr>
                <w:rFonts w:ascii="Times New Roman" w:hAnsi="Times New Roman" w:cs="Times New Roman"/>
              </w:rPr>
            </w:pPr>
            <w:r w:rsidRPr="00180A8B">
              <w:rPr>
                <w:rFonts w:ascii="Times New Roman" w:hAnsi="Times New Roman" w:cs="Times New Roman"/>
              </w:rPr>
              <w:t xml:space="preserve">Sa i përket fushës e shpëlarjes së parave dhe financimit të terrorizmit, </w:t>
            </w:r>
            <w:r w:rsidRPr="00180A8B">
              <w:rPr>
                <w:rFonts w:ascii="Times New Roman" w:hAnsi="Times New Roman" w:cs="Times New Roman"/>
                <w:i/>
                <w:iCs/>
              </w:rPr>
              <w:t xml:space="preserve">Raporti i KE-së për Kosovën 2021 </w:t>
            </w:r>
            <w:r w:rsidRPr="00180A8B">
              <w:rPr>
                <w:rFonts w:ascii="Times New Roman" w:hAnsi="Times New Roman" w:cs="Times New Roman"/>
              </w:rPr>
              <w:t xml:space="preserve">thekson shumë qartë se Ligji për Luftimin e Shpëlarjes së Parave dhe Financimit të Terrorizmit ende nuk është në linjë me </w:t>
            </w:r>
            <w:r w:rsidRPr="00180A8B">
              <w:rPr>
                <w:rFonts w:ascii="Times New Roman" w:hAnsi="Times New Roman" w:cs="Times New Roman"/>
                <w:i/>
                <w:iCs/>
              </w:rPr>
              <w:t>acquis</w:t>
            </w:r>
            <w:r w:rsidRPr="00180A8B">
              <w:rPr>
                <w:rFonts w:ascii="Times New Roman" w:hAnsi="Times New Roman" w:cs="Times New Roman"/>
              </w:rPr>
              <w:t xml:space="preserve"> dhe standardet e tjera ndërkombëtare, dhe se ky ligj nuk duhet të vendos kufizime të panevojshme në qëndrueshmërinë financiare të OShC-ve me rrezikshmëri të ulët. Në mbështetje të kësaj të gjeture të Raportit të vendit, ky ligj nuk është në përputhje as me rekomandimet e Task Forcës së Veprimit Financiar (FATF) dhe Direktivën e BE-së 2015/849.</w:t>
            </w:r>
          </w:p>
          <w:p w:rsidR="008C79C9" w:rsidRPr="00180A8B" w:rsidRDefault="008C79C9" w:rsidP="008C79C9">
            <w:pPr>
              <w:spacing w:before="120" w:after="0" w:line="240" w:lineRule="auto"/>
              <w:rPr>
                <w:rFonts w:ascii="Times New Roman" w:hAnsi="Times New Roman" w:cs="Times New Roman"/>
              </w:rPr>
            </w:pPr>
            <w:r w:rsidRPr="00180A8B">
              <w:rPr>
                <w:rFonts w:ascii="Times New Roman" w:hAnsi="Times New Roman" w:cs="Times New Roman"/>
              </w:rPr>
              <w:t>Duke qenë se KCSF për këtë çështje ka dhënë rekomandim me shpjegim të detajuar edhe vitin e kaluar, arsyetimi për mos përfshirjen e tij në PKZMSA 2021-2025 ka treguar se rekomandimi është keqkuptuar.</w:t>
            </w:r>
          </w:p>
          <w:p w:rsidR="008C79C9" w:rsidRPr="00180A8B" w:rsidRDefault="008C79C9" w:rsidP="008C79C9">
            <w:pPr>
              <w:spacing w:before="120" w:after="0" w:line="240" w:lineRule="auto"/>
              <w:rPr>
                <w:rFonts w:ascii="Times New Roman" w:hAnsi="Times New Roman" w:cs="Times New Roman"/>
              </w:rPr>
            </w:pPr>
            <w:r w:rsidRPr="00180A8B">
              <w:rPr>
                <w:rFonts w:ascii="Times New Roman" w:hAnsi="Times New Roman" w:cs="Times New Roman"/>
              </w:rPr>
              <w:t xml:space="preserve">Prandaj, KCSF rekomandon që në pikën </w:t>
            </w:r>
            <w:r w:rsidRPr="00180A8B">
              <w:rPr>
                <w:rFonts w:ascii="Times New Roman" w:hAnsi="Times New Roman" w:cs="Times New Roman"/>
                <w:i/>
              </w:rPr>
              <w:t xml:space="preserve">3.24. të PKZMSA 2022-2026, tek Kapitulli 24 i </w:t>
            </w:r>
            <w:r w:rsidRPr="00180A8B">
              <w:rPr>
                <w:rFonts w:ascii="Times New Roman" w:hAnsi="Times New Roman" w:cs="Times New Roman"/>
                <w:i/>
                <w:iCs/>
              </w:rPr>
              <w:t>acquis</w:t>
            </w:r>
            <w:r w:rsidRPr="00180A8B">
              <w:rPr>
                <w:rFonts w:ascii="Times New Roman" w:hAnsi="Times New Roman" w:cs="Times New Roman"/>
                <w:i/>
              </w:rPr>
              <w:t xml:space="preserve">-së: Drejtësia, liria dhe siguria, të theksohet qartë përkushtimi i Qeverisë për adresimin e kësaj problematike në koncept dokumentin për Luftimin e Shpërlarjes së Parave dhe Financimit të Terrorizmit, duke u dhënë trajtim të drejtë OShC-ve përmes ndërmarrjes së vlerësimit të rrezikut sektoral dhe kategorizimit të OShC-ve, e cila më pas do të përdorej edhe për përcaktimin e kërkesave raportuese ndaj NjIFK; ndryshimin e kornizës ligjore për qasje në shërbime bankare të OShC-ve, më </w:t>
            </w:r>
            <w:r w:rsidRPr="00180A8B">
              <w:rPr>
                <w:rFonts w:ascii="Times New Roman" w:hAnsi="Times New Roman" w:cs="Times New Roman"/>
                <w:i/>
              </w:rPr>
              <w:lastRenderedPageBreak/>
              <w:t>konkretisht, Rregulloren e BQK për parandalimin e pastrimit të parave dhe financimit të terrorizmit.</w:t>
            </w:r>
          </w:p>
        </w:tc>
        <w:tc>
          <w:tcPr>
            <w:tcW w:w="1260" w:type="dxa"/>
            <w:shd w:val="clear" w:color="auto" w:fill="BDD6EE" w:themeFill="accent1" w:themeFillTint="66"/>
          </w:tcPr>
          <w:p w:rsidR="008C79C9" w:rsidRPr="00180A8B" w:rsidRDefault="008C79C9" w:rsidP="008C79C9">
            <w:pPr>
              <w:tabs>
                <w:tab w:val="center" w:pos="1737"/>
              </w:tabs>
              <w:spacing w:after="0" w:line="240" w:lineRule="auto"/>
              <w:rPr>
                <w:rFonts w:ascii="Times New Roman" w:hAnsi="Times New Roman" w:cs="Times New Roman"/>
                <w:color w:val="000000"/>
                <w:lang w:eastAsia="en-GB"/>
              </w:rPr>
            </w:pPr>
            <w:r w:rsidRPr="00180A8B">
              <w:rPr>
                <w:rFonts w:ascii="Times New Roman" w:hAnsi="Times New Roman" w:cs="Times New Roman"/>
                <w:color w:val="000000"/>
                <w:lang w:eastAsia="en-GB"/>
              </w:rPr>
              <w:lastRenderedPageBreak/>
              <w:t>KCSF</w:t>
            </w:r>
          </w:p>
        </w:tc>
        <w:tc>
          <w:tcPr>
            <w:tcW w:w="1260" w:type="dxa"/>
            <w:shd w:val="clear" w:color="auto" w:fill="BDD6EE" w:themeFill="accent1" w:themeFillTint="66"/>
          </w:tcPr>
          <w:p w:rsidR="008C79C9" w:rsidRPr="00180A8B" w:rsidRDefault="008C79C9" w:rsidP="008C79C9">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Pranohet pjesërisht</w:t>
            </w:r>
          </w:p>
        </w:tc>
        <w:tc>
          <w:tcPr>
            <w:tcW w:w="5575" w:type="dxa"/>
            <w:shd w:val="clear" w:color="auto" w:fill="BDD6EE" w:themeFill="accent1" w:themeFillTint="66"/>
          </w:tcPr>
          <w:p w:rsidR="008C79C9" w:rsidRPr="00180A8B" w:rsidRDefault="008C79C9" w:rsidP="008C79C9">
            <w:pPr>
              <w:tabs>
                <w:tab w:val="center" w:pos="1737"/>
              </w:tabs>
              <w:spacing w:after="0" w:line="240" w:lineRule="auto"/>
              <w:rPr>
                <w:rFonts w:ascii="Times New Roman" w:hAnsi="Times New Roman" w:cs="Times New Roman"/>
                <w:bCs/>
              </w:rPr>
            </w:pPr>
            <w:r w:rsidRPr="00180A8B">
              <w:rPr>
                <w:rFonts w:ascii="Times New Roman" w:hAnsi="Times New Roman" w:cs="Times New Roman"/>
                <w:bCs/>
              </w:rPr>
              <w:t>Pjesa e komentit që është pranuar është inkorporuar në fq. 196 të Programit të miratuar nga Kuvendi. Paragrafi ku është inkorporuar komenti është si në vijim:</w:t>
            </w:r>
          </w:p>
          <w:p w:rsidR="008C79C9" w:rsidRPr="00180A8B" w:rsidRDefault="008C79C9" w:rsidP="008C79C9">
            <w:pPr>
              <w:spacing w:before="120" w:after="0" w:line="240" w:lineRule="auto"/>
              <w:rPr>
                <w:rFonts w:ascii="Times New Roman" w:hAnsi="Times New Roman" w:cs="Times New Roman"/>
                <w:color w:val="000000" w:themeColor="text1"/>
              </w:rPr>
            </w:pPr>
            <w:r w:rsidRPr="00180A8B">
              <w:rPr>
                <w:rFonts w:ascii="Times New Roman" w:hAnsi="Times New Roman" w:cs="Times New Roman"/>
                <w:color w:val="000000" w:themeColor="text1"/>
              </w:rPr>
              <w:t>“Sa i përket fushës e shpëlarjes së parave dhe financimit të terrorizmit, Raporti i KE-së për Kosovën – 2021</w:t>
            </w:r>
            <w:r w:rsidRPr="00180A8B">
              <w:rPr>
                <w:rFonts w:ascii="Times New Roman" w:hAnsi="Times New Roman" w:cs="Times New Roman"/>
                <w:i/>
                <w:color w:val="000000" w:themeColor="text1"/>
              </w:rPr>
              <w:t xml:space="preserve"> </w:t>
            </w:r>
            <w:r w:rsidRPr="00180A8B">
              <w:rPr>
                <w:rFonts w:ascii="Times New Roman" w:hAnsi="Times New Roman" w:cs="Times New Roman"/>
                <w:color w:val="000000" w:themeColor="text1"/>
              </w:rPr>
              <w:t xml:space="preserve">thekson se Ligji për Luftimin e Shpëlarjes së Parave dhe Financimit të Terrorizmit ende nuk është në linjë me </w:t>
            </w:r>
            <w:r w:rsidRPr="00180A8B">
              <w:rPr>
                <w:rFonts w:ascii="Times New Roman" w:hAnsi="Times New Roman" w:cs="Times New Roman"/>
                <w:i/>
                <w:color w:val="000000" w:themeColor="text1"/>
              </w:rPr>
              <w:t>acquis</w:t>
            </w:r>
            <w:r w:rsidRPr="00180A8B">
              <w:rPr>
                <w:rFonts w:ascii="Times New Roman" w:hAnsi="Times New Roman" w:cs="Times New Roman"/>
                <w:color w:val="000000" w:themeColor="text1"/>
              </w:rPr>
              <w:t xml:space="preserve"> dhe standardet e tjera ndërkombëtare. Ky ligj nuk duhet të vendos kufizime të panevojshme në qëndrueshmërinë financiare të OSHC-ve me rrezikshmëri të ulët. Gjithashtu, raporti përmend se shpëlarja e parave nuk hetohet si vepër penale në vete, por gjithmonë në lidhje me vepra të tjera penale, dhe se hetimet paralele financiare nuk janë duke u zhvilluar në mënyre sistematike për rastet e krimit të organizuar. Lufta kundër pastrimit të parave dhe financimit të terrorizmit nuk po jep rezultate bindëse. Raporti i KE-së, si dhe konkluzionet e nënkomitetit kërkojnë që të zbatohen rekomandimet e raporteve të FATF/Moneyval si dhe të rritet bashkëpunimi ndërmjet autoriteteve relevante.”</w:t>
            </w:r>
          </w:p>
          <w:p w:rsidR="008C79C9" w:rsidRPr="00180A8B" w:rsidRDefault="008C79C9" w:rsidP="008C79C9">
            <w:pPr>
              <w:tabs>
                <w:tab w:val="center" w:pos="1737"/>
              </w:tabs>
              <w:spacing w:after="0" w:line="240" w:lineRule="auto"/>
              <w:rPr>
                <w:rFonts w:ascii="Times New Roman" w:hAnsi="Times New Roman" w:cs="Times New Roman"/>
                <w:bCs/>
              </w:rPr>
            </w:pPr>
          </w:p>
        </w:tc>
      </w:tr>
    </w:tbl>
    <w:p w:rsidR="00D6584D" w:rsidRPr="00180A8B" w:rsidRDefault="00D6584D" w:rsidP="00ED122E">
      <w:pPr>
        <w:spacing w:after="0" w:line="240" w:lineRule="auto"/>
        <w:rPr>
          <w:rFonts w:ascii="Times New Roman" w:hAnsi="Times New Roman" w:cs="Times New Roman"/>
          <w:color w:val="000000" w:themeColor="text1"/>
        </w:rPr>
      </w:pPr>
    </w:p>
    <w:p w:rsidR="007153C4" w:rsidRPr="00180A8B" w:rsidRDefault="007153C4" w:rsidP="00ED122E">
      <w:pPr>
        <w:spacing w:before="120" w:after="120" w:line="240" w:lineRule="auto"/>
        <w:rPr>
          <w:rFonts w:ascii="Book Antiqua" w:hAnsi="Book Antiqua"/>
          <w:sz w:val="20"/>
          <w:szCs w:val="20"/>
        </w:rPr>
      </w:pPr>
    </w:p>
    <w:sectPr w:rsidR="007153C4" w:rsidRPr="00180A8B" w:rsidSect="00CF39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401" w:rsidRDefault="00D36401" w:rsidP="00CF398E">
      <w:pPr>
        <w:spacing w:after="0" w:line="240" w:lineRule="auto"/>
      </w:pPr>
      <w:r>
        <w:separator/>
      </w:r>
    </w:p>
  </w:endnote>
  <w:endnote w:type="continuationSeparator" w:id="0">
    <w:p w:rsidR="00D36401" w:rsidRDefault="00D36401" w:rsidP="00CF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0"/>
        <w:szCs w:val="20"/>
      </w:rPr>
      <w:id w:val="764656458"/>
      <w:docPartObj>
        <w:docPartGallery w:val="Page Numbers (Bottom of Page)"/>
        <w:docPartUnique/>
      </w:docPartObj>
    </w:sdtPr>
    <w:sdtEndPr>
      <w:rPr>
        <w:noProof/>
      </w:rPr>
    </w:sdtEndPr>
    <w:sdtContent>
      <w:p w:rsidR="008922F9" w:rsidRPr="00CF398E" w:rsidRDefault="008922F9">
        <w:pPr>
          <w:pStyle w:val="Footer"/>
          <w:jc w:val="right"/>
          <w:rPr>
            <w:rFonts w:ascii="Book Antiqua" w:hAnsi="Book Antiqua"/>
            <w:sz w:val="20"/>
            <w:szCs w:val="20"/>
          </w:rPr>
        </w:pPr>
        <w:r w:rsidRPr="00CF398E">
          <w:rPr>
            <w:rFonts w:ascii="Book Antiqua" w:hAnsi="Book Antiqua"/>
            <w:sz w:val="20"/>
            <w:szCs w:val="20"/>
          </w:rPr>
          <w:fldChar w:fldCharType="begin"/>
        </w:r>
        <w:r w:rsidRPr="00CF398E">
          <w:rPr>
            <w:rFonts w:ascii="Book Antiqua" w:hAnsi="Book Antiqua"/>
            <w:sz w:val="20"/>
            <w:szCs w:val="20"/>
          </w:rPr>
          <w:instrText xml:space="preserve"> PAGE   \* MERGEFORMAT </w:instrText>
        </w:r>
        <w:r w:rsidRPr="00CF398E">
          <w:rPr>
            <w:rFonts w:ascii="Book Antiqua" w:hAnsi="Book Antiqua"/>
            <w:sz w:val="20"/>
            <w:szCs w:val="20"/>
          </w:rPr>
          <w:fldChar w:fldCharType="separate"/>
        </w:r>
        <w:r w:rsidR="00E13E8A">
          <w:rPr>
            <w:rFonts w:ascii="Book Antiqua" w:hAnsi="Book Antiqua"/>
            <w:noProof/>
            <w:sz w:val="20"/>
            <w:szCs w:val="20"/>
          </w:rPr>
          <w:t>14</w:t>
        </w:r>
        <w:r w:rsidRPr="00CF398E">
          <w:rPr>
            <w:rFonts w:ascii="Book Antiqua" w:hAnsi="Book Antiqua"/>
            <w:noProof/>
            <w:sz w:val="20"/>
            <w:szCs w:val="20"/>
          </w:rPr>
          <w:fldChar w:fldCharType="end"/>
        </w:r>
      </w:p>
    </w:sdtContent>
  </w:sdt>
  <w:p w:rsidR="008922F9" w:rsidRPr="00CF398E" w:rsidRDefault="008922F9">
    <w:pPr>
      <w:pStyle w:val="Footer"/>
      <w:rPr>
        <w:rFonts w:ascii="Book Antiqua" w:hAnsi="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401" w:rsidRDefault="00D36401" w:rsidP="00CF398E">
      <w:pPr>
        <w:spacing w:after="0" w:line="240" w:lineRule="auto"/>
      </w:pPr>
      <w:r>
        <w:separator/>
      </w:r>
    </w:p>
  </w:footnote>
  <w:footnote w:type="continuationSeparator" w:id="0">
    <w:p w:rsidR="00D36401" w:rsidRDefault="00D36401" w:rsidP="00CF3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5C1"/>
    <w:multiLevelType w:val="hybridMultilevel"/>
    <w:tmpl w:val="474C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A7F04"/>
    <w:multiLevelType w:val="hybridMultilevel"/>
    <w:tmpl w:val="246A81E2"/>
    <w:lvl w:ilvl="0" w:tplc="D9FC1F8C">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E065D"/>
    <w:multiLevelType w:val="hybridMultilevel"/>
    <w:tmpl w:val="AB56880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91032"/>
    <w:multiLevelType w:val="hybridMultilevel"/>
    <w:tmpl w:val="81644DEE"/>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C3D48"/>
    <w:multiLevelType w:val="hybridMultilevel"/>
    <w:tmpl w:val="5BB0D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BD3A9B"/>
    <w:multiLevelType w:val="hybridMultilevel"/>
    <w:tmpl w:val="3BAC8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2E7599"/>
    <w:multiLevelType w:val="hybridMultilevel"/>
    <w:tmpl w:val="FC6C7DD0"/>
    <w:lvl w:ilvl="0" w:tplc="65D4FA4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05926"/>
    <w:multiLevelType w:val="hybridMultilevel"/>
    <w:tmpl w:val="1562A432"/>
    <w:lvl w:ilvl="0" w:tplc="04090017">
      <w:start w:val="9"/>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B44BD"/>
    <w:multiLevelType w:val="hybridMultilevel"/>
    <w:tmpl w:val="9E5A7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AD4E94"/>
    <w:multiLevelType w:val="hybridMultilevel"/>
    <w:tmpl w:val="A3441A5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C02D2"/>
    <w:multiLevelType w:val="hybridMultilevel"/>
    <w:tmpl w:val="A3D6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C2E41"/>
    <w:multiLevelType w:val="hybridMultilevel"/>
    <w:tmpl w:val="478A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30680"/>
    <w:multiLevelType w:val="hybridMultilevel"/>
    <w:tmpl w:val="D76869F8"/>
    <w:lvl w:ilvl="0" w:tplc="9F9496F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B0413"/>
    <w:multiLevelType w:val="hybridMultilevel"/>
    <w:tmpl w:val="DAC6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14A83"/>
    <w:multiLevelType w:val="hybridMultilevel"/>
    <w:tmpl w:val="7398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A20D9"/>
    <w:multiLevelType w:val="hybridMultilevel"/>
    <w:tmpl w:val="A1B88E6A"/>
    <w:lvl w:ilvl="0" w:tplc="B0D8F82A">
      <w:start w:val="1"/>
      <w:numFmt w:val="decimal"/>
      <w:lvlText w:val="%1."/>
      <w:lvlJc w:val="left"/>
      <w:pPr>
        <w:ind w:left="630" w:hanging="360"/>
      </w:pPr>
      <w:rPr>
        <w:rFonts w:cs="Tahoma" w:hint="default"/>
      </w:rPr>
    </w:lvl>
    <w:lvl w:ilvl="1" w:tplc="D9FC1F8C">
      <w:start w:val="1"/>
      <w:numFmt w:val="lowerLetter"/>
      <w:lvlText w:val="%2)"/>
      <w:lvlJc w:val="left"/>
      <w:pPr>
        <w:ind w:left="5130" w:hanging="360"/>
      </w:pPr>
      <w:rPr>
        <w:i w:val="0"/>
      </w:rPr>
    </w:lvl>
    <w:lvl w:ilvl="2" w:tplc="4CF81D64">
      <w:start w:val="1"/>
      <w:numFmt w:val="lowerLetter"/>
      <w:lvlText w:val="(%3)"/>
      <w:lvlJc w:val="left"/>
      <w:pPr>
        <w:ind w:left="2340" w:hanging="360"/>
      </w:pPr>
      <w:rPr>
        <w:rFonts w:hint="default"/>
      </w:rPr>
    </w:lvl>
    <w:lvl w:ilvl="3" w:tplc="3D06595A">
      <w:start w:val="2"/>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0481F"/>
    <w:multiLevelType w:val="hybridMultilevel"/>
    <w:tmpl w:val="71E02048"/>
    <w:lvl w:ilvl="0" w:tplc="041C0017">
      <w:start w:val="4"/>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8" w15:restartNumberingAfterBreak="0">
    <w:nsid w:val="60BC6913"/>
    <w:multiLevelType w:val="hybridMultilevel"/>
    <w:tmpl w:val="21B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25A0C"/>
    <w:multiLevelType w:val="hybridMultilevel"/>
    <w:tmpl w:val="2A267AC4"/>
    <w:lvl w:ilvl="0" w:tplc="04090001">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03753"/>
    <w:multiLevelType w:val="hybridMultilevel"/>
    <w:tmpl w:val="2F8A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309B5"/>
    <w:multiLevelType w:val="multilevel"/>
    <w:tmpl w:val="0409001D"/>
    <w:styleLink w:val="List-Bullets"/>
    <w:lvl w:ilvl="0">
      <w:start w:val="1"/>
      <w:numFmt w:val="bullet"/>
      <w:lvlText w:val="•"/>
      <w:lvlJc w:val="left"/>
      <w:pPr>
        <w:ind w:left="360" w:hanging="360"/>
      </w:pPr>
      <w:rPr>
        <w:rFonts w:ascii="Calibri" w:hAnsi="Calibr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cs="Times New Roman" w:hint="default"/>
        <w:color w:val="007AC2"/>
      </w:rPr>
    </w:lvl>
    <w:lvl w:ilvl="3">
      <w:start w:val="1"/>
      <w:numFmt w:val="bullet"/>
      <w:lvlText w:val="•"/>
      <w:lvlJc w:val="left"/>
      <w:pPr>
        <w:ind w:left="1440" w:hanging="360"/>
      </w:pPr>
      <w:rPr>
        <w:rFonts w:ascii="Arial" w:hAnsi="Arial" w:cs="Times New Roman" w:hint="default"/>
        <w:color w:val="007AC2"/>
      </w:rPr>
    </w:lvl>
    <w:lvl w:ilvl="4">
      <w:start w:val="1"/>
      <w:numFmt w:val="bullet"/>
      <w:lvlText w:val="•"/>
      <w:lvlJc w:val="left"/>
      <w:pPr>
        <w:ind w:left="1800" w:hanging="360"/>
      </w:pPr>
      <w:rPr>
        <w:rFonts w:ascii="Arial" w:hAnsi="Arial" w:cs="Times New Roman" w:hint="default"/>
        <w:color w:val="007AC2"/>
      </w:rPr>
    </w:lvl>
    <w:lvl w:ilvl="5">
      <w:start w:val="1"/>
      <w:numFmt w:val="bullet"/>
      <w:lvlText w:val="•"/>
      <w:lvlJc w:val="left"/>
      <w:pPr>
        <w:ind w:left="2160" w:hanging="360"/>
      </w:pPr>
      <w:rPr>
        <w:rFonts w:ascii="Arial" w:hAnsi="Arial" w:cs="Times New Roman" w:hint="default"/>
        <w:color w:val="007AC2"/>
      </w:rPr>
    </w:lvl>
    <w:lvl w:ilvl="6">
      <w:start w:val="1"/>
      <w:numFmt w:val="bullet"/>
      <w:lvlText w:val="•"/>
      <w:lvlJc w:val="left"/>
      <w:pPr>
        <w:ind w:left="2520" w:hanging="360"/>
      </w:pPr>
      <w:rPr>
        <w:rFonts w:ascii="Arial" w:hAnsi="Arial" w:cs="Times New Roman" w:hint="default"/>
        <w:color w:val="007AC2"/>
      </w:rPr>
    </w:lvl>
    <w:lvl w:ilvl="7">
      <w:start w:val="1"/>
      <w:numFmt w:val="bullet"/>
      <w:lvlText w:val="•"/>
      <w:lvlJc w:val="left"/>
      <w:pPr>
        <w:ind w:left="2880" w:hanging="360"/>
      </w:pPr>
      <w:rPr>
        <w:rFonts w:ascii="Arial" w:hAnsi="Arial" w:cs="Times New Roman" w:hint="default"/>
        <w:color w:val="007AC2"/>
      </w:rPr>
    </w:lvl>
    <w:lvl w:ilvl="8">
      <w:start w:val="1"/>
      <w:numFmt w:val="bullet"/>
      <w:lvlText w:val="•"/>
      <w:lvlJc w:val="left"/>
      <w:pPr>
        <w:ind w:left="3240" w:hanging="360"/>
      </w:pPr>
      <w:rPr>
        <w:rFonts w:ascii="Arial" w:hAnsi="Arial" w:cs="Times New Roman" w:hint="default"/>
        <w:color w:val="007AC2"/>
      </w:rPr>
    </w:lvl>
  </w:abstractNum>
  <w:num w:numId="1">
    <w:abstractNumId w:val="18"/>
  </w:num>
  <w:num w:numId="2">
    <w:abstractNumId w:val="2"/>
  </w:num>
  <w:num w:numId="3">
    <w:abstractNumId w:val="7"/>
  </w:num>
  <w:num w:numId="4">
    <w:abstractNumId w:val="13"/>
  </w:num>
  <w:num w:numId="5">
    <w:abstractNumId w:val="5"/>
  </w:num>
  <w:num w:numId="6">
    <w:abstractNumId w:val="16"/>
  </w:num>
  <w:num w:numId="7">
    <w:abstractNumId w:val="12"/>
  </w:num>
  <w:num w:numId="8">
    <w:abstractNumId w:val="4"/>
  </w:num>
  <w:num w:numId="9">
    <w:abstractNumId w:val="10"/>
  </w:num>
  <w:num w:numId="10">
    <w:abstractNumId w:val="3"/>
  </w:num>
  <w:num w:numId="11">
    <w:abstractNumId w:val="8"/>
  </w:num>
  <w:num w:numId="12">
    <w:abstractNumId w:val="0"/>
  </w:num>
  <w:num w:numId="13">
    <w:abstractNumId w:val="19"/>
  </w:num>
  <w:num w:numId="14">
    <w:abstractNumId w:val="15"/>
  </w:num>
  <w:num w:numId="15">
    <w:abstractNumId w:val="20"/>
  </w:num>
  <w:num w:numId="16">
    <w:abstractNumId w:val="14"/>
  </w:num>
  <w:num w:numId="17">
    <w:abstractNumId w:val="1"/>
  </w:num>
  <w:num w:numId="18">
    <w:abstractNumId w:val="17"/>
  </w:num>
  <w:num w:numId="19">
    <w:abstractNumId w:val="21"/>
  </w:num>
  <w:num w:numId="20">
    <w:abstractNumId w:val="6"/>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8E"/>
    <w:rsid w:val="00013034"/>
    <w:rsid w:val="000720A5"/>
    <w:rsid w:val="0009150E"/>
    <w:rsid w:val="00094528"/>
    <w:rsid w:val="000B4EBC"/>
    <w:rsid w:val="00116699"/>
    <w:rsid w:val="00154953"/>
    <w:rsid w:val="00154F19"/>
    <w:rsid w:val="001562F1"/>
    <w:rsid w:val="00180A8B"/>
    <w:rsid w:val="001B1844"/>
    <w:rsid w:val="001F3E9F"/>
    <w:rsid w:val="00207411"/>
    <w:rsid w:val="00212965"/>
    <w:rsid w:val="00234DA4"/>
    <w:rsid w:val="00234F20"/>
    <w:rsid w:val="00254037"/>
    <w:rsid w:val="002F0410"/>
    <w:rsid w:val="002F588C"/>
    <w:rsid w:val="003533A8"/>
    <w:rsid w:val="003660D2"/>
    <w:rsid w:val="003A2D0C"/>
    <w:rsid w:val="003C5637"/>
    <w:rsid w:val="003D2CCA"/>
    <w:rsid w:val="003F5DA2"/>
    <w:rsid w:val="00497A08"/>
    <w:rsid w:val="004A7D7F"/>
    <w:rsid w:val="004C71CA"/>
    <w:rsid w:val="004F28FA"/>
    <w:rsid w:val="004F57CA"/>
    <w:rsid w:val="004F5CA0"/>
    <w:rsid w:val="0051303F"/>
    <w:rsid w:val="00537B9F"/>
    <w:rsid w:val="0055731E"/>
    <w:rsid w:val="00571147"/>
    <w:rsid w:val="005757D7"/>
    <w:rsid w:val="00582D01"/>
    <w:rsid w:val="005B5DD0"/>
    <w:rsid w:val="00646A72"/>
    <w:rsid w:val="006660A4"/>
    <w:rsid w:val="006B6FED"/>
    <w:rsid w:val="006B78C9"/>
    <w:rsid w:val="006E3468"/>
    <w:rsid w:val="006F1D98"/>
    <w:rsid w:val="007153C4"/>
    <w:rsid w:val="00764FD2"/>
    <w:rsid w:val="007817B2"/>
    <w:rsid w:val="00783FDF"/>
    <w:rsid w:val="00790721"/>
    <w:rsid w:val="007977B6"/>
    <w:rsid w:val="007C7801"/>
    <w:rsid w:val="007D2995"/>
    <w:rsid w:val="007D786B"/>
    <w:rsid w:val="008168D8"/>
    <w:rsid w:val="008922F9"/>
    <w:rsid w:val="008B358F"/>
    <w:rsid w:val="008B5E38"/>
    <w:rsid w:val="008C79C9"/>
    <w:rsid w:val="008F5A81"/>
    <w:rsid w:val="009406EB"/>
    <w:rsid w:val="00955C71"/>
    <w:rsid w:val="00986BF7"/>
    <w:rsid w:val="009B383F"/>
    <w:rsid w:val="009F50CF"/>
    <w:rsid w:val="00A017CE"/>
    <w:rsid w:val="00A219E5"/>
    <w:rsid w:val="00A23B7C"/>
    <w:rsid w:val="00A344F2"/>
    <w:rsid w:val="00A70D75"/>
    <w:rsid w:val="00AB5F3C"/>
    <w:rsid w:val="00B15497"/>
    <w:rsid w:val="00B673FB"/>
    <w:rsid w:val="00BD1845"/>
    <w:rsid w:val="00BD790C"/>
    <w:rsid w:val="00BF2CD9"/>
    <w:rsid w:val="00C10ACF"/>
    <w:rsid w:val="00C73A5D"/>
    <w:rsid w:val="00C86D44"/>
    <w:rsid w:val="00C93055"/>
    <w:rsid w:val="00CA4175"/>
    <w:rsid w:val="00CB0835"/>
    <w:rsid w:val="00CC0A62"/>
    <w:rsid w:val="00CF2782"/>
    <w:rsid w:val="00CF398E"/>
    <w:rsid w:val="00CF6059"/>
    <w:rsid w:val="00D06881"/>
    <w:rsid w:val="00D16A23"/>
    <w:rsid w:val="00D21D40"/>
    <w:rsid w:val="00D27097"/>
    <w:rsid w:val="00D36401"/>
    <w:rsid w:val="00D365C9"/>
    <w:rsid w:val="00D6584D"/>
    <w:rsid w:val="00DA47F5"/>
    <w:rsid w:val="00E01E84"/>
    <w:rsid w:val="00E13E8A"/>
    <w:rsid w:val="00E16070"/>
    <w:rsid w:val="00E4651F"/>
    <w:rsid w:val="00E81898"/>
    <w:rsid w:val="00EB38A0"/>
    <w:rsid w:val="00EC0373"/>
    <w:rsid w:val="00EC2EFD"/>
    <w:rsid w:val="00EC45AC"/>
    <w:rsid w:val="00EC75DD"/>
    <w:rsid w:val="00ED122E"/>
    <w:rsid w:val="00ED2CCC"/>
    <w:rsid w:val="00EE180B"/>
    <w:rsid w:val="00EF07F0"/>
    <w:rsid w:val="00F05577"/>
    <w:rsid w:val="00F30255"/>
    <w:rsid w:val="00FB010B"/>
    <w:rsid w:val="00FB5C5F"/>
    <w:rsid w:val="00FB70A4"/>
    <w:rsid w:val="00FE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68DEC-AD6E-44FB-A922-88B47B65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B9F"/>
    <w:rPr>
      <w:lang w:val="sq-AL"/>
    </w:rPr>
  </w:style>
  <w:style w:type="paragraph" w:styleId="Heading1">
    <w:name w:val="heading 1"/>
    <w:basedOn w:val="Normal"/>
    <w:next w:val="Normal"/>
    <w:link w:val="Heading1Char"/>
    <w:uiPriority w:val="9"/>
    <w:qFormat/>
    <w:rsid w:val="00D21D40"/>
    <w:pPr>
      <w:keepNext/>
      <w:spacing w:before="240" w:after="60" w:line="276"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98E"/>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CF398E"/>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itle">
    <w:name w:val="Title"/>
    <w:basedOn w:val="Normal"/>
    <w:link w:val="TitleChar"/>
    <w:qFormat/>
    <w:rsid w:val="00CF398E"/>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rsid w:val="00CF398E"/>
    <w:rPr>
      <w:rFonts w:ascii="Times New Roman" w:eastAsia="MS Mincho" w:hAnsi="Times New Roman" w:cs="Times New Roman"/>
      <w:b/>
      <w:bCs/>
      <w:sz w:val="24"/>
      <w:szCs w:val="24"/>
      <w:lang w:val="sq-AL"/>
    </w:rPr>
  </w:style>
  <w:style w:type="character" w:styleId="CommentReference">
    <w:name w:val="annotation reference"/>
    <w:basedOn w:val="DefaultParagraphFont"/>
    <w:uiPriority w:val="99"/>
    <w:unhideWhenUsed/>
    <w:rsid w:val="00CF398E"/>
    <w:rPr>
      <w:sz w:val="16"/>
      <w:szCs w:val="16"/>
    </w:rPr>
  </w:style>
  <w:style w:type="paragraph" w:styleId="CommentText">
    <w:name w:val="annotation text"/>
    <w:basedOn w:val="Normal"/>
    <w:link w:val="CommentTextChar"/>
    <w:uiPriority w:val="99"/>
    <w:unhideWhenUsed/>
    <w:rsid w:val="00CF398E"/>
    <w:pPr>
      <w:spacing w:after="0" w:line="240" w:lineRule="auto"/>
    </w:pPr>
    <w:rPr>
      <w:sz w:val="20"/>
      <w:szCs w:val="20"/>
    </w:rPr>
  </w:style>
  <w:style w:type="character" w:customStyle="1" w:styleId="CommentTextChar">
    <w:name w:val="Comment Text Char"/>
    <w:basedOn w:val="DefaultParagraphFont"/>
    <w:link w:val="CommentText"/>
    <w:uiPriority w:val="99"/>
    <w:rsid w:val="00CF398E"/>
    <w:rPr>
      <w:sz w:val="20"/>
      <w:szCs w:val="20"/>
      <w:lang w:val="sq-AL"/>
    </w:rPr>
  </w:style>
  <w:style w:type="paragraph" w:styleId="ListParagraph">
    <w:name w:val="List Paragraph"/>
    <w:aliases w:val="Normal 1,List Paragraph 1,Akapit z listą BS,List Paragraph nowy,Liste 1,Bullet paras,Citation List,Dot pt,F5 List Paragraph,List Paragraph1,List Paragraph Char Char Char,Indicator Text,Numbered Para 1,Bullet 1,Bullet Points,MAIN CONTENT,L"/>
    <w:basedOn w:val="Normal"/>
    <w:link w:val="ListParagraphChar"/>
    <w:uiPriority w:val="34"/>
    <w:qFormat/>
    <w:rsid w:val="00CF398E"/>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Normal 1 Char,List Paragraph 1 Char,Akapit z listą BS Char,List Paragraph nowy Char,Liste 1 Char,Bullet paras Char,Citation List Char,Dot pt Char,F5 List Paragraph Char,List Paragraph1 Char,List Paragraph Char Char Char Char,L Char"/>
    <w:link w:val="ListParagraph"/>
    <w:uiPriority w:val="34"/>
    <w:qFormat/>
    <w:rsid w:val="00CF398E"/>
    <w:rPr>
      <w:rFonts w:ascii="Calibri" w:eastAsia="Calibri" w:hAnsi="Calibri" w:cs="Times New Roman"/>
    </w:rPr>
  </w:style>
  <w:style w:type="paragraph" w:styleId="Header">
    <w:name w:val="header"/>
    <w:basedOn w:val="Normal"/>
    <w:link w:val="HeaderChar"/>
    <w:uiPriority w:val="99"/>
    <w:unhideWhenUsed/>
    <w:rsid w:val="00CF3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98E"/>
    <w:rPr>
      <w:lang w:val="sr-Latn-CS"/>
    </w:rPr>
  </w:style>
  <w:style w:type="paragraph" w:styleId="Footer">
    <w:name w:val="footer"/>
    <w:basedOn w:val="Normal"/>
    <w:link w:val="FooterChar"/>
    <w:uiPriority w:val="99"/>
    <w:unhideWhenUsed/>
    <w:rsid w:val="00CF3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98E"/>
    <w:rPr>
      <w:lang w:val="sr-Latn-CS"/>
    </w:rPr>
  </w:style>
  <w:style w:type="paragraph" w:styleId="BalloonText">
    <w:name w:val="Balloon Text"/>
    <w:basedOn w:val="Normal"/>
    <w:link w:val="BalloonTextChar"/>
    <w:uiPriority w:val="99"/>
    <w:semiHidden/>
    <w:unhideWhenUsed/>
    <w:rsid w:val="00212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65"/>
    <w:rPr>
      <w:rFonts w:ascii="Tahoma" w:hAnsi="Tahoma" w:cs="Tahoma"/>
      <w:sz w:val="16"/>
      <w:szCs w:val="16"/>
      <w:lang w:val="sr-Latn-CS"/>
    </w:rPr>
  </w:style>
  <w:style w:type="paragraph" w:styleId="BodyText2">
    <w:name w:val="Body Text 2"/>
    <w:basedOn w:val="Normal"/>
    <w:link w:val="BodyText2Char"/>
    <w:uiPriority w:val="99"/>
    <w:rsid w:val="00212965"/>
    <w:pPr>
      <w:spacing w:after="0" w:line="240" w:lineRule="auto"/>
    </w:pPr>
    <w:rPr>
      <w:rFonts w:ascii="Times New Roman" w:eastAsia="Times New Roman" w:hAnsi="Times New Roman" w:cs="Times New Roman"/>
      <w:sz w:val="24"/>
      <w:szCs w:val="24"/>
      <w:lang w:eastAsia="sr-Latn-CS"/>
    </w:rPr>
  </w:style>
  <w:style w:type="character" w:customStyle="1" w:styleId="BodyText2Char">
    <w:name w:val="Body Text 2 Char"/>
    <w:basedOn w:val="DefaultParagraphFont"/>
    <w:link w:val="BodyText2"/>
    <w:uiPriority w:val="99"/>
    <w:rsid w:val="00212965"/>
    <w:rPr>
      <w:rFonts w:ascii="Times New Roman" w:eastAsia="Times New Roman" w:hAnsi="Times New Roman" w:cs="Times New Roman"/>
      <w:sz w:val="24"/>
      <w:szCs w:val="24"/>
      <w:lang w:val="sq-AL" w:eastAsia="sr-Latn-CS"/>
    </w:rPr>
  </w:style>
  <w:style w:type="paragraph" w:styleId="Subtitle">
    <w:name w:val="Subtitle"/>
    <w:basedOn w:val="Normal"/>
    <w:next w:val="Normal"/>
    <w:link w:val="SubtitleChar"/>
    <w:uiPriority w:val="99"/>
    <w:qFormat/>
    <w:rsid w:val="00212965"/>
    <w:pPr>
      <w:spacing w:after="60" w:line="240" w:lineRule="auto"/>
      <w:jc w:val="center"/>
      <w:outlineLvl w:val="1"/>
    </w:pPr>
    <w:rPr>
      <w:rFonts w:ascii="Cambria" w:eastAsia="Times New Roman" w:hAnsi="Cambria" w:cs="Times New Roman"/>
      <w:sz w:val="24"/>
      <w:szCs w:val="24"/>
      <w:lang w:eastAsia="sr-Latn-CS"/>
    </w:rPr>
  </w:style>
  <w:style w:type="character" w:customStyle="1" w:styleId="SubtitleChar">
    <w:name w:val="Subtitle Char"/>
    <w:basedOn w:val="DefaultParagraphFont"/>
    <w:link w:val="Subtitle"/>
    <w:uiPriority w:val="99"/>
    <w:rsid w:val="00212965"/>
    <w:rPr>
      <w:rFonts w:ascii="Cambria" w:eastAsia="Times New Roman" w:hAnsi="Cambria" w:cs="Times New Roman"/>
      <w:sz w:val="24"/>
      <w:szCs w:val="24"/>
      <w:lang w:val="sq-AL" w:eastAsia="sr-Latn-CS"/>
    </w:rPr>
  </w:style>
  <w:style w:type="paragraph" w:styleId="NormalWeb">
    <w:name w:val="Normal (Web)"/>
    <w:basedOn w:val="Normal"/>
    <w:uiPriority w:val="99"/>
    <w:unhideWhenUsed/>
    <w:rsid w:val="009F50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21D40"/>
    <w:rPr>
      <w:rFonts w:ascii="Cambria" w:eastAsia="Times New Roman" w:hAnsi="Cambria" w:cs="Times New Roman"/>
      <w:b/>
      <w:bCs/>
      <w:kern w:val="32"/>
      <w:sz w:val="32"/>
      <w:szCs w:val="32"/>
    </w:rPr>
  </w:style>
  <w:style w:type="paragraph" w:styleId="NoSpacing">
    <w:name w:val="No Spacing"/>
    <w:link w:val="NoSpacingChar"/>
    <w:uiPriority w:val="1"/>
    <w:qFormat/>
    <w:rsid w:val="001F3E9F"/>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1F3E9F"/>
    <w:rPr>
      <w:rFonts w:eastAsiaTheme="minorEastAsia"/>
      <w:sz w:val="20"/>
      <w:szCs w:val="20"/>
    </w:rPr>
  </w:style>
  <w:style w:type="character" w:styleId="Hyperlink">
    <w:name w:val="Hyperlink"/>
    <w:basedOn w:val="DefaultParagraphFont"/>
    <w:uiPriority w:val="99"/>
    <w:semiHidden/>
    <w:unhideWhenUsed/>
    <w:rsid w:val="006E3468"/>
    <w:rPr>
      <w:color w:val="0563C1"/>
      <w:u w:val="single"/>
    </w:rPr>
  </w:style>
  <w:style w:type="numbering" w:customStyle="1" w:styleId="List-Bullets">
    <w:name w:val="List-Bullets"/>
    <w:uiPriority w:val="99"/>
    <w:rsid w:val="006E346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89607">
      <w:bodyDiv w:val="1"/>
      <w:marLeft w:val="0"/>
      <w:marRight w:val="0"/>
      <w:marTop w:val="0"/>
      <w:marBottom w:val="0"/>
      <w:divBdr>
        <w:top w:val="none" w:sz="0" w:space="0" w:color="auto"/>
        <w:left w:val="none" w:sz="0" w:space="0" w:color="auto"/>
        <w:bottom w:val="none" w:sz="0" w:space="0" w:color="auto"/>
        <w:right w:val="none" w:sz="0" w:space="0" w:color="auto"/>
      </w:divBdr>
    </w:div>
    <w:div w:id="17897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ryeministri.rks-gov.net/wp-content/uploads/2021/10/1-PV-ERA-II-miratuar-nga-Kuvend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5141</Words>
  <Characters>29305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Tafilaj</dc:creator>
  <cp:keywords/>
  <dc:description/>
  <cp:lastModifiedBy>Toshiba</cp:lastModifiedBy>
  <cp:revision>2</cp:revision>
  <dcterms:created xsi:type="dcterms:W3CDTF">2022-05-26T07:36:00Z</dcterms:created>
  <dcterms:modified xsi:type="dcterms:W3CDTF">2022-05-26T07:36:00Z</dcterms:modified>
</cp:coreProperties>
</file>