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097545" w:rsidRDefault="00DC4A9B" w:rsidP="00DC4A9B">
      <w:pPr>
        <w:tabs>
          <w:tab w:val="center" w:pos="6480"/>
        </w:tabs>
        <w:spacing w:after="0" w:line="240" w:lineRule="auto"/>
        <w:rPr>
          <w:rFonts w:ascii="Times New Roman" w:eastAsia="Calibri" w:hAnsi="Times New Roman"/>
          <w:sz w:val="32"/>
          <w:szCs w:val="32"/>
          <w:lang w:val="sq-AL"/>
        </w:rPr>
      </w:pPr>
    </w:p>
    <w:p w:rsidR="00FE53EC" w:rsidRDefault="00140DFD" w:rsidP="00FE53EC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</w:pPr>
      <w:r w:rsidRPr="00097545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RAPO</w:t>
      </w:r>
      <w:r w:rsidR="00FE53EC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RT NGA PROCESI I KONSULTIMIT TË:</w:t>
      </w:r>
    </w:p>
    <w:p w:rsidR="00FE53EC" w:rsidRPr="00FE53EC" w:rsidRDefault="00FE53EC" w:rsidP="00FE53EC">
      <w:pPr>
        <w:spacing w:after="0" w:line="240" w:lineRule="auto"/>
        <w:jc w:val="both"/>
        <w:rPr>
          <w:rFonts w:ascii="Times New Roman" w:eastAsia="Calibri" w:hAnsi="Times New Roman"/>
          <w:bCs/>
          <w:smallCaps/>
          <w:sz w:val="24"/>
          <w:szCs w:val="24"/>
          <w:lang w:val="sq-AL"/>
        </w:rPr>
      </w:pPr>
    </w:p>
    <w:p w:rsidR="00FE53EC" w:rsidRPr="00FE53EC" w:rsidRDefault="00FE53EC" w:rsidP="00FE53EC">
      <w:pPr>
        <w:spacing w:after="0" w:line="240" w:lineRule="auto"/>
        <w:jc w:val="both"/>
        <w:rPr>
          <w:rFonts w:ascii="Times New Roman" w:eastAsia="Calibri" w:hAnsi="Times New Roman"/>
          <w:bCs/>
          <w:smallCaps/>
          <w:sz w:val="24"/>
          <w:szCs w:val="24"/>
          <w:lang w:val="sq-AL"/>
        </w:rPr>
      </w:pPr>
      <w:r w:rsidRPr="00FE53EC">
        <w:rPr>
          <w:rFonts w:ascii="Times New Roman" w:eastAsia="Calibri" w:hAnsi="Times New Roman"/>
          <w:bCs/>
          <w:smallCaps/>
          <w:sz w:val="24"/>
          <w:szCs w:val="24"/>
          <w:lang w:val="sq-AL"/>
        </w:rPr>
        <w:t>1.PROJEKT - UDHËZIM ADMINISTRATIV (MTI) Nr.00/2020 PËR CAKTIMIN E KUSHTEVE PËR VENDOSJEN E PRODUKTEVE PËR SHTRIM NGA BETONI NË TREG,</w:t>
      </w:r>
    </w:p>
    <w:p w:rsidR="00FE53EC" w:rsidRPr="00FE53EC" w:rsidRDefault="00FE53EC" w:rsidP="00FE53EC">
      <w:pPr>
        <w:spacing w:after="0" w:line="240" w:lineRule="auto"/>
        <w:jc w:val="both"/>
        <w:rPr>
          <w:rFonts w:ascii="Times New Roman" w:eastAsia="Calibri" w:hAnsi="Times New Roman"/>
          <w:bCs/>
          <w:smallCaps/>
          <w:sz w:val="24"/>
          <w:szCs w:val="24"/>
          <w:lang w:val="sq-AL"/>
        </w:rPr>
      </w:pPr>
    </w:p>
    <w:p w:rsidR="00FE53EC" w:rsidRPr="00FE53EC" w:rsidRDefault="00FE53EC" w:rsidP="00FE53EC">
      <w:pPr>
        <w:spacing w:after="0" w:line="240" w:lineRule="auto"/>
        <w:jc w:val="both"/>
        <w:rPr>
          <w:rFonts w:ascii="Times New Roman" w:eastAsia="Calibri" w:hAnsi="Times New Roman"/>
          <w:bCs/>
          <w:smallCaps/>
          <w:sz w:val="24"/>
          <w:szCs w:val="24"/>
          <w:lang w:val="sq-AL"/>
        </w:rPr>
      </w:pPr>
      <w:r w:rsidRPr="00FE53EC">
        <w:rPr>
          <w:rFonts w:ascii="Times New Roman" w:eastAsia="Calibri" w:hAnsi="Times New Roman"/>
          <w:bCs/>
          <w:smallCaps/>
          <w:sz w:val="24"/>
          <w:szCs w:val="24"/>
          <w:lang w:val="sq-AL"/>
        </w:rPr>
        <w:t>2. PROJEKT - UDHËZIM ADMINISTRATIV (MTI) Nr.00/2020 PËR PËRCAKTIMIN E KUSHTEVE PËR VENDOSJEN E BETONIT TË LËNGSHËM/GATSHËM NË TREG,</w:t>
      </w:r>
    </w:p>
    <w:p w:rsidR="00FE53EC" w:rsidRPr="00FE53EC" w:rsidRDefault="00FE53EC" w:rsidP="00FE53EC">
      <w:pPr>
        <w:spacing w:after="0" w:line="240" w:lineRule="auto"/>
        <w:jc w:val="both"/>
        <w:rPr>
          <w:rFonts w:ascii="Times New Roman" w:eastAsia="Calibri" w:hAnsi="Times New Roman"/>
          <w:bCs/>
          <w:smallCaps/>
          <w:sz w:val="24"/>
          <w:szCs w:val="24"/>
          <w:lang w:val="sq-AL"/>
        </w:rPr>
      </w:pPr>
    </w:p>
    <w:p w:rsidR="00FE53EC" w:rsidRPr="00FE53EC" w:rsidRDefault="00FE53EC" w:rsidP="00FE53EC">
      <w:pPr>
        <w:spacing w:after="0" w:line="240" w:lineRule="auto"/>
        <w:jc w:val="both"/>
        <w:rPr>
          <w:rFonts w:ascii="Times New Roman" w:eastAsia="Calibri" w:hAnsi="Times New Roman"/>
          <w:bCs/>
          <w:smallCaps/>
          <w:sz w:val="24"/>
          <w:szCs w:val="24"/>
          <w:lang w:val="sq-AL"/>
        </w:rPr>
      </w:pPr>
      <w:r w:rsidRPr="00FE53EC">
        <w:rPr>
          <w:rFonts w:ascii="Times New Roman" w:eastAsia="Calibri" w:hAnsi="Times New Roman"/>
          <w:bCs/>
          <w:smallCaps/>
          <w:sz w:val="24"/>
          <w:szCs w:val="24"/>
          <w:lang w:val="sq-AL"/>
        </w:rPr>
        <w:t>3. PROJEKT - UDHËZIM ADMINISTRATIV (MTI) NR.00/2020 PËR CAKTIMIN E KUSHTEVE PËR VENDOSJEN E AGREGATEVE DHE MBUSHËSVE PËR BETON NË TREG</w:t>
      </w:r>
    </w:p>
    <w:p w:rsidR="00066966" w:rsidRPr="00097545" w:rsidRDefault="00066966" w:rsidP="00066966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</w:pPr>
    </w:p>
    <w:p w:rsidR="00DC4A9B" w:rsidRPr="00097545" w:rsidRDefault="009D16E5" w:rsidP="000669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q-AL"/>
        </w:rPr>
      </w:pPr>
      <w:r w:rsidRPr="00097545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KAPITULLI I</w:t>
      </w:r>
    </w:p>
    <w:p w:rsidR="00140DFD" w:rsidRPr="00097545" w:rsidRDefault="00140DFD" w:rsidP="00DC4A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</w:p>
    <w:p w:rsidR="00DC4A9B" w:rsidRPr="00097545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097545">
        <w:rPr>
          <w:rFonts w:ascii="Times New Roman" w:eastAsia="Calibri" w:hAnsi="Times New Roman"/>
          <w:b/>
          <w:sz w:val="24"/>
          <w:szCs w:val="24"/>
          <w:lang w:val="sq-AL"/>
        </w:rPr>
        <w:t>Hyrja/sfondi</w:t>
      </w:r>
    </w:p>
    <w:p w:rsidR="00DC4A9B" w:rsidRPr="00097545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611F1C" w:rsidRPr="00097545" w:rsidRDefault="001026DC" w:rsidP="003113B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>Mini</w:t>
      </w:r>
      <w:r w:rsidR="001569EA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stria e Tregtisë dhe Industrisë respektivisht </w:t>
      </w:r>
      <w:r w:rsidR="00DF2218" w:rsidRPr="00097545">
        <w:rPr>
          <w:rFonts w:ascii="Times New Roman" w:eastAsia="Calibri" w:hAnsi="Times New Roman"/>
          <w:i/>
          <w:sz w:val="24"/>
          <w:szCs w:val="24"/>
          <w:lang w:val="sq-AL"/>
        </w:rPr>
        <w:t>Departamenti i Industrisë (</w:t>
      </w:r>
      <w:r w:rsidR="00407A62" w:rsidRPr="00097545">
        <w:rPr>
          <w:rFonts w:ascii="Times New Roman" w:eastAsia="Calibri" w:hAnsi="Times New Roman"/>
          <w:i/>
          <w:sz w:val="24"/>
          <w:szCs w:val="24"/>
          <w:lang w:val="sq-AL"/>
        </w:rPr>
        <w:t>Divizioni p</w:t>
      </w:r>
      <w:r w:rsidR="0023136A" w:rsidRPr="00097545">
        <w:rPr>
          <w:rFonts w:ascii="Times New Roman" w:eastAsia="Calibri" w:hAnsi="Times New Roman"/>
          <w:i/>
          <w:sz w:val="24"/>
          <w:szCs w:val="24"/>
          <w:lang w:val="sq-AL"/>
        </w:rPr>
        <w:t>ë</w:t>
      </w:r>
      <w:r w:rsidR="00407A62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r Infrastrukturë të Cilësisë) </w:t>
      </w: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në cilësinë e </w:t>
      </w:r>
      <w:r w:rsidR="0068520F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Organit Propozues </w:t>
      </w: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për </w:t>
      </w:r>
      <w:r w:rsidR="003113BC">
        <w:rPr>
          <w:rFonts w:ascii="Times New Roman" w:eastAsia="Calibri" w:hAnsi="Times New Roman"/>
          <w:i/>
          <w:sz w:val="24"/>
          <w:szCs w:val="24"/>
          <w:lang w:val="sq-AL"/>
        </w:rPr>
        <w:t>hartimin e tri akteve nënligjore (</w:t>
      </w:r>
      <w:r w:rsidR="003113BC" w:rsidRPr="003113BC">
        <w:rPr>
          <w:rFonts w:ascii="Times New Roman" w:eastAsia="Calibri" w:hAnsi="Times New Roman"/>
          <w:i/>
          <w:sz w:val="24"/>
          <w:szCs w:val="24"/>
          <w:lang w:val="sq-AL"/>
        </w:rPr>
        <w:t>1.Projekt - Udhëzim Administrativ (MTI) Nr.00/2020 për caktimin e kushteve për vendosjen e produkteve për shtrim nga betoni në treg,2. Projekt - Udhëzim Administrativ (MTI) Nr.00/2020 për përcaktimin e kushteve për vendosjen e betonit të lëngshëm/gatshëm në treg,</w:t>
      </w:r>
      <w:r w:rsidR="003113BC">
        <w:rPr>
          <w:rFonts w:ascii="Times New Roman" w:eastAsia="Calibri" w:hAnsi="Times New Roman"/>
          <w:i/>
          <w:sz w:val="24"/>
          <w:szCs w:val="24"/>
          <w:lang w:val="sq-AL"/>
        </w:rPr>
        <w:t xml:space="preserve"> dhe </w:t>
      </w:r>
      <w:r w:rsidR="003113BC" w:rsidRPr="003113BC">
        <w:rPr>
          <w:rFonts w:ascii="Times New Roman" w:eastAsia="Calibri" w:hAnsi="Times New Roman"/>
          <w:i/>
          <w:sz w:val="24"/>
          <w:szCs w:val="24"/>
          <w:lang w:val="sq-AL"/>
        </w:rPr>
        <w:t>3. Projekt - Udhëzim Administrativ (MTI) nr.00/2020 për caktimin e kushteve për vendosjen e agregateve dhe mbushësve për beton në treg</w:t>
      </w:r>
      <w:r w:rsidR="003113BC">
        <w:rPr>
          <w:rFonts w:ascii="Times New Roman" w:eastAsia="Calibri" w:hAnsi="Times New Roman"/>
          <w:i/>
          <w:sz w:val="24"/>
          <w:szCs w:val="24"/>
          <w:lang w:val="sq-AL"/>
        </w:rPr>
        <w:t>)</w:t>
      </w:r>
      <w:r w:rsidR="0026542E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ka </w:t>
      </w: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propozuar  hartimin e </w:t>
      </w:r>
      <w:proofErr w:type="spellStart"/>
      <w:r w:rsidR="003113BC">
        <w:rPr>
          <w:rFonts w:ascii="Times New Roman" w:eastAsia="Calibri" w:hAnsi="Times New Roman"/>
          <w:i/>
          <w:sz w:val="24"/>
          <w:szCs w:val="24"/>
          <w:lang w:val="sq-AL"/>
        </w:rPr>
        <w:t>tyure</w:t>
      </w:r>
      <w:proofErr w:type="spellEnd"/>
      <w:r w:rsidR="0068520F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79131E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me qëllim që </w:t>
      </w:r>
      <w:r w:rsidR="0068520F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të </w:t>
      </w:r>
      <w:r w:rsidR="00407A62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mundëson implementimin </w:t>
      </w:r>
      <w:r w:rsidR="0006696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e </w:t>
      </w:r>
      <w:r w:rsidR="00441369" w:rsidRPr="00097545">
        <w:rPr>
          <w:rFonts w:ascii="Times New Roman" w:eastAsia="Calibri" w:hAnsi="Times New Roman"/>
          <w:i/>
          <w:sz w:val="24"/>
          <w:szCs w:val="24"/>
          <w:lang w:val="sq-AL"/>
        </w:rPr>
        <w:t>mëtutjeshëm</w:t>
      </w:r>
      <w:r w:rsidR="0006696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të</w:t>
      </w:r>
      <w:r w:rsidR="00407A62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DF2218" w:rsidRPr="00097545">
        <w:rPr>
          <w:rFonts w:ascii="Times New Roman" w:eastAsia="Calibri" w:hAnsi="Times New Roman"/>
          <w:i/>
          <w:sz w:val="24"/>
          <w:szCs w:val="24"/>
          <w:lang w:val="sq-AL"/>
        </w:rPr>
        <w:t>Ligjit Nr.06/L-0</w:t>
      </w:r>
      <w:r w:rsidR="00066966" w:rsidRPr="00097545">
        <w:rPr>
          <w:rFonts w:ascii="Times New Roman" w:eastAsia="Calibri" w:hAnsi="Times New Roman"/>
          <w:i/>
          <w:sz w:val="24"/>
          <w:szCs w:val="24"/>
          <w:lang w:val="sq-AL"/>
        </w:rPr>
        <w:t>33</w:t>
      </w:r>
      <w:r w:rsidR="00DF2218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për </w:t>
      </w:r>
      <w:r w:rsidR="0006696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Produktet e </w:t>
      </w:r>
      <w:r w:rsidR="00441369" w:rsidRPr="00097545">
        <w:rPr>
          <w:rFonts w:ascii="Times New Roman" w:eastAsia="Calibri" w:hAnsi="Times New Roman"/>
          <w:i/>
          <w:sz w:val="24"/>
          <w:szCs w:val="24"/>
          <w:lang w:val="sq-AL"/>
        </w:rPr>
        <w:t>Ndërtimit</w:t>
      </w:r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441369" w:rsidRPr="00097545">
        <w:rPr>
          <w:rFonts w:ascii="Times New Roman" w:eastAsia="Calibri" w:hAnsi="Times New Roman"/>
          <w:i/>
          <w:sz w:val="24"/>
          <w:szCs w:val="24"/>
          <w:lang w:val="sq-AL"/>
        </w:rPr>
        <w:t>përkatësisht</w:t>
      </w:r>
      <w:r w:rsidR="00097545" w:rsidRPr="00097545">
        <w:rPr>
          <w:lang w:val="sq-AL"/>
        </w:rPr>
        <w:t xml:space="preserve"> </w:t>
      </w:r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>nenit 50 dhe 55 paragrafët 4-6</w:t>
      </w:r>
      <w:r w:rsidR="00DF2218" w:rsidRPr="00097545">
        <w:rPr>
          <w:rFonts w:ascii="Times New Roman" w:eastAsia="Calibri" w:hAnsi="Times New Roman"/>
          <w:i/>
          <w:sz w:val="24"/>
          <w:szCs w:val="24"/>
          <w:lang w:val="sq-AL"/>
        </w:rPr>
        <w:t>,</w:t>
      </w:r>
      <w:r w:rsidR="00407A62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implementimin e </w:t>
      </w:r>
      <w:r w:rsidR="00A15291" w:rsidRPr="00097545">
        <w:rPr>
          <w:rFonts w:ascii="Times New Roman" w:eastAsia="Calibri" w:hAnsi="Times New Roman"/>
          <w:i/>
          <w:sz w:val="24"/>
          <w:szCs w:val="24"/>
          <w:lang w:val="sq-AL"/>
        </w:rPr>
        <w:t>Marrëveshjes</w:t>
      </w:r>
      <w:r w:rsidR="00407A62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së Stabilizim </w:t>
      </w:r>
      <w:proofErr w:type="spellStart"/>
      <w:r w:rsidR="00407A62" w:rsidRPr="00097545">
        <w:rPr>
          <w:rFonts w:ascii="Times New Roman" w:eastAsia="Calibri" w:hAnsi="Times New Roman"/>
          <w:i/>
          <w:sz w:val="24"/>
          <w:szCs w:val="24"/>
          <w:lang w:val="sq-AL"/>
        </w:rPr>
        <w:t>Asocimit</w:t>
      </w:r>
      <w:proofErr w:type="spellEnd"/>
      <w:r w:rsidR="00407A62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(Neni 8</w:t>
      </w:r>
      <w:r w:rsidR="009D16E5" w:rsidRPr="00097545">
        <w:rPr>
          <w:rFonts w:ascii="Times New Roman" w:eastAsia="Calibri" w:hAnsi="Times New Roman"/>
          <w:i/>
          <w:sz w:val="24"/>
          <w:szCs w:val="24"/>
          <w:lang w:val="sq-AL"/>
        </w:rPr>
        <w:t>0</w:t>
      </w:r>
      <w:r w:rsidR="00407A62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) </w:t>
      </w:r>
      <w:r w:rsidR="009D16E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“Standardizimi, Metrologjia, Akreditimi dhe Vlerësimi i </w:t>
      </w:r>
      <w:proofErr w:type="spellStart"/>
      <w:r w:rsidR="009D16E5" w:rsidRPr="00097545">
        <w:rPr>
          <w:rFonts w:ascii="Times New Roman" w:eastAsia="Calibri" w:hAnsi="Times New Roman"/>
          <w:i/>
          <w:sz w:val="24"/>
          <w:szCs w:val="24"/>
          <w:lang w:val="sq-AL"/>
        </w:rPr>
        <w:t>Konformitetit</w:t>
      </w:r>
      <w:proofErr w:type="spellEnd"/>
      <w:r w:rsidR="009D16E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” pasi që siguron një lehtësimin në zbatimin e politikave për lëvizjen e lirë të mallrave në përputhje me ligjin e BE-së duke rritur informacionin dhe besimin në </w:t>
      </w:r>
      <w:proofErr w:type="spellStart"/>
      <w:r w:rsidR="00FD6872">
        <w:rPr>
          <w:rFonts w:ascii="Times New Roman" w:eastAsia="Calibri" w:hAnsi="Times New Roman"/>
          <w:i/>
          <w:sz w:val="24"/>
          <w:szCs w:val="24"/>
          <w:lang w:val="sq-AL"/>
        </w:rPr>
        <w:t>performancen</w:t>
      </w:r>
      <w:proofErr w:type="spellEnd"/>
      <w:r w:rsidR="00FD6872">
        <w:rPr>
          <w:rFonts w:ascii="Times New Roman" w:eastAsia="Calibri" w:hAnsi="Times New Roman"/>
          <w:i/>
          <w:sz w:val="24"/>
          <w:szCs w:val="24"/>
          <w:lang w:val="sq-AL"/>
        </w:rPr>
        <w:t xml:space="preserve"> e deklaruar të produkteve të ndërtimit të</w:t>
      </w:r>
      <w:r w:rsidR="009D16E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vëna në dispozicion të tregut</w:t>
      </w:r>
      <w:r w:rsidR="003113BC">
        <w:rPr>
          <w:rFonts w:ascii="Times New Roman" w:eastAsia="Calibri" w:hAnsi="Times New Roman"/>
          <w:i/>
          <w:sz w:val="24"/>
          <w:szCs w:val="24"/>
          <w:lang w:val="sq-AL"/>
        </w:rPr>
        <w:t>.</w:t>
      </w:r>
      <w:r w:rsidR="009D16E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Me </w:t>
      </w:r>
      <w:r w:rsidR="0052458F">
        <w:rPr>
          <w:rFonts w:ascii="Times New Roman" w:eastAsia="Calibri" w:hAnsi="Times New Roman"/>
          <w:i/>
          <w:sz w:val="24"/>
          <w:szCs w:val="24"/>
          <w:lang w:val="sq-AL"/>
        </w:rPr>
        <w:t>vazhdimin e hartimit të legjislacionit</w:t>
      </w:r>
      <w:r w:rsidR="0006696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të produkteve të ndërtimit përkatësisht </w:t>
      </w:r>
      <w:r w:rsidR="003113BC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produkteve të betonit për shtrim, </w:t>
      </w:r>
      <w:r w:rsidR="00066966" w:rsidRPr="00FD6872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="003113BC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betonit të lëngshëm, dhe agregateve për beton </w:t>
      </w:r>
      <w:r w:rsidR="0052458F">
        <w:rPr>
          <w:rFonts w:ascii="Times New Roman" w:eastAsia="Calibri" w:hAnsi="Times New Roman"/>
          <w:i/>
          <w:sz w:val="24"/>
          <w:szCs w:val="24"/>
          <w:lang w:val="sq-AL"/>
        </w:rPr>
        <w:t>të cilat prodhohen dhe</w:t>
      </w:r>
      <w:r w:rsidR="0006696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vihe</w:t>
      </w:r>
      <w:r w:rsidR="0052458F">
        <w:rPr>
          <w:rFonts w:ascii="Times New Roman" w:eastAsia="Calibri" w:hAnsi="Times New Roman"/>
          <w:i/>
          <w:sz w:val="24"/>
          <w:szCs w:val="24"/>
          <w:lang w:val="sq-AL"/>
        </w:rPr>
        <w:t>n</w:t>
      </w:r>
      <w:r w:rsidR="0006696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në dispozicion t</w:t>
      </w:r>
      <w:r w:rsidR="0052458F">
        <w:rPr>
          <w:rFonts w:ascii="Times New Roman" w:eastAsia="Calibri" w:hAnsi="Times New Roman"/>
          <w:i/>
          <w:sz w:val="24"/>
          <w:szCs w:val="24"/>
          <w:lang w:val="sq-AL"/>
        </w:rPr>
        <w:t>ë</w:t>
      </w:r>
      <w:r w:rsidR="0006696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tregut</w:t>
      </w:r>
      <w:r w:rsidR="009D16E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, Kosova promovon përdorimin e rregullave teknike të BE-së, standardeve </w:t>
      </w:r>
      <w:r w:rsidR="0052458F">
        <w:rPr>
          <w:rFonts w:ascii="Times New Roman" w:eastAsia="Calibri" w:hAnsi="Times New Roman"/>
          <w:i/>
          <w:sz w:val="24"/>
          <w:szCs w:val="24"/>
          <w:lang w:val="sq-AL"/>
        </w:rPr>
        <w:t xml:space="preserve">të harmonizuara </w:t>
      </w:r>
      <w:r w:rsidR="009D16E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evropiane dhe procedurave të vlerësimit të </w:t>
      </w:r>
      <w:proofErr w:type="spellStart"/>
      <w:r w:rsidR="009D16E5" w:rsidRPr="00097545">
        <w:rPr>
          <w:rFonts w:ascii="Times New Roman" w:eastAsia="Calibri" w:hAnsi="Times New Roman"/>
          <w:i/>
          <w:sz w:val="24"/>
          <w:szCs w:val="24"/>
          <w:lang w:val="sq-AL"/>
        </w:rPr>
        <w:t>konformitetit</w:t>
      </w:r>
      <w:proofErr w:type="spellEnd"/>
      <w:r w:rsidR="00FD6872">
        <w:rPr>
          <w:rFonts w:ascii="Times New Roman" w:eastAsia="Calibri" w:hAnsi="Times New Roman"/>
          <w:i/>
          <w:sz w:val="24"/>
          <w:szCs w:val="24"/>
          <w:lang w:val="sq-AL"/>
        </w:rPr>
        <w:t xml:space="preserve"> përkatësisht sistemin për vlerësimin e verifikimit të qëndrueshmërisë se </w:t>
      </w:r>
      <w:proofErr w:type="spellStart"/>
      <w:r w:rsidR="00FD6872">
        <w:rPr>
          <w:rFonts w:ascii="Times New Roman" w:eastAsia="Calibri" w:hAnsi="Times New Roman"/>
          <w:i/>
          <w:sz w:val="24"/>
          <w:szCs w:val="24"/>
          <w:lang w:val="sq-AL"/>
        </w:rPr>
        <w:t>performances</w:t>
      </w:r>
      <w:proofErr w:type="spellEnd"/>
      <w:r w:rsidR="00FD6872">
        <w:rPr>
          <w:rFonts w:ascii="Times New Roman" w:eastAsia="Calibri" w:hAnsi="Times New Roman"/>
          <w:i/>
          <w:sz w:val="24"/>
          <w:szCs w:val="24"/>
          <w:lang w:val="sq-AL"/>
        </w:rPr>
        <w:t xml:space="preserve"> (AVCP)</w:t>
      </w:r>
      <w:r w:rsidR="00DF2218" w:rsidRPr="00097545">
        <w:rPr>
          <w:rFonts w:ascii="Times New Roman" w:eastAsia="Calibri" w:hAnsi="Times New Roman"/>
          <w:i/>
          <w:sz w:val="24"/>
          <w:szCs w:val="24"/>
          <w:lang w:val="sq-AL"/>
        </w:rPr>
        <w:t>.</w:t>
      </w:r>
      <w:r w:rsidR="00407A62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</w:p>
    <w:p w:rsidR="00611F1C" w:rsidRPr="00097545" w:rsidRDefault="00611F1C" w:rsidP="00F43D8F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856A8F" w:rsidRPr="00097545" w:rsidRDefault="00097545" w:rsidP="00DF2218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val="sq-AL"/>
        </w:rPr>
      </w:pPr>
      <w:r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>P</w:t>
      </w:r>
      <w:r w:rsidR="00407A62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ërmes hartimit të </w:t>
      </w:r>
      <w:proofErr w:type="spellStart"/>
      <w:r w:rsidR="0052458F">
        <w:rPr>
          <w:rFonts w:ascii="Times New Roman" w:eastAsia="Calibri" w:hAnsi="Times New Roman"/>
          <w:b/>
          <w:i/>
          <w:sz w:val="24"/>
          <w:szCs w:val="24"/>
          <w:lang w:val="sq-AL"/>
        </w:rPr>
        <w:t>këtyreakteve</w:t>
      </w:r>
      <w:proofErr w:type="spellEnd"/>
      <w:r w:rsidR="0052458F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proofErr w:type="spellStart"/>
      <w:r w:rsidR="0052458F">
        <w:rPr>
          <w:rFonts w:ascii="Times New Roman" w:eastAsia="Calibri" w:hAnsi="Times New Roman"/>
          <w:b/>
          <w:i/>
          <w:sz w:val="24"/>
          <w:szCs w:val="24"/>
          <w:lang w:val="sq-AL"/>
        </w:rPr>
        <w:t>nenligjore</w:t>
      </w:r>
      <w:proofErr w:type="spellEnd"/>
      <w:r w:rsidR="009D16E5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="00DF2218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është krijuar baza ligjore </w:t>
      </w:r>
      <w:r w:rsidR="007A6E43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e  cila përcakton kushtet për vendosjen e </w:t>
      </w:r>
      <w:r w:rsidR="0052458F" w:rsidRPr="0052458F">
        <w:rPr>
          <w:rFonts w:ascii="Times New Roman" w:eastAsia="Calibri" w:hAnsi="Times New Roman"/>
          <w:b/>
          <w:i/>
          <w:sz w:val="24"/>
          <w:szCs w:val="24"/>
          <w:lang w:val="sq-AL"/>
        </w:rPr>
        <w:t>produkteve të betonit për shtrim,  betonit të lëngshëm, dhe agregateve për beton</w:t>
      </w:r>
      <w:r w:rsidR="007A6E43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në treg duke mundësuar kështu përmbushjen e kërkesave themelore dhe karakteristikave specifike</w:t>
      </w:r>
      <w:r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proofErr w:type="spellStart"/>
      <w:r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>mandator</w:t>
      </w:r>
      <w:r w:rsidR="0052458F">
        <w:rPr>
          <w:rFonts w:ascii="Times New Roman" w:eastAsia="Calibri" w:hAnsi="Times New Roman"/>
          <w:b/>
          <w:i/>
          <w:sz w:val="24"/>
          <w:szCs w:val="24"/>
          <w:lang w:val="sq-AL"/>
        </w:rPr>
        <w:t>e</w:t>
      </w:r>
      <w:proofErr w:type="spellEnd"/>
      <w:r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të cilat duhet të deklarohen nga prodhuesi</w:t>
      </w:r>
      <w:r w:rsidR="00B334DB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>.</w:t>
      </w:r>
      <w:r w:rsidR="007A6E43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Gjithashtu</w:t>
      </w:r>
      <w:r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>,</w:t>
      </w:r>
      <w:r w:rsidR="007A6E43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k</w:t>
      </w:r>
      <w:r w:rsidR="0052458F">
        <w:rPr>
          <w:rFonts w:ascii="Times New Roman" w:eastAsia="Calibri" w:hAnsi="Times New Roman"/>
          <w:b/>
          <w:i/>
          <w:sz w:val="24"/>
          <w:szCs w:val="24"/>
          <w:lang w:val="sq-AL"/>
        </w:rPr>
        <w:t>ëto</w:t>
      </w:r>
      <w:r w:rsidR="007A6E43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Projekt-Udhëzim</w:t>
      </w:r>
      <w:r w:rsidR="0052458F">
        <w:rPr>
          <w:rFonts w:ascii="Times New Roman" w:eastAsia="Calibri" w:hAnsi="Times New Roman"/>
          <w:b/>
          <w:i/>
          <w:sz w:val="24"/>
          <w:szCs w:val="24"/>
          <w:lang w:val="sq-AL"/>
        </w:rPr>
        <w:t>e</w:t>
      </w:r>
      <w:r w:rsidR="00A5099B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Administrativ</w:t>
      </w:r>
      <w:r w:rsidR="0052458F">
        <w:rPr>
          <w:rFonts w:ascii="Times New Roman" w:eastAsia="Calibri" w:hAnsi="Times New Roman"/>
          <w:b/>
          <w:i/>
          <w:sz w:val="24"/>
          <w:szCs w:val="24"/>
          <w:lang w:val="sq-AL"/>
        </w:rPr>
        <w:t>e</w:t>
      </w:r>
      <w:r w:rsidR="00A5099B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përsh</w:t>
      </w:r>
      <w:r w:rsidR="007A6E43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>krua</w:t>
      </w:r>
      <w:r w:rsidR="0052458F">
        <w:rPr>
          <w:rFonts w:ascii="Times New Roman" w:eastAsia="Calibri" w:hAnsi="Times New Roman"/>
          <w:b/>
          <w:i/>
          <w:sz w:val="24"/>
          <w:szCs w:val="24"/>
          <w:lang w:val="sq-AL"/>
        </w:rPr>
        <w:t>j</w:t>
      </w:r>
      <w:r w:rsidR="007A6E43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>n</w:t>
      </w:r>
      <w:r w:rsidR="0052458F">
        <w:rPr>
          <w:rFonts w:ascii="Times New Roman" w:eastAsia="Calibri" w:hAnsi="Times New Roman"/>
          <w:b/>
          <w:i/>
          <w:sz w:val="24"/>
          <w:szCs w:val="24"/>
          <w:lang w:val="sq-AL"/>
        </w:rPr>
        <w:t>ë</w:t>
      </w:r>
      <w:r w:rsidR="007A6E43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edhe detyrimin e prodhuesve </w:t>
      </w:r>
      <w:r w:rsidR="00963253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për </w:t>
      </w:r>
      <w:r w:rsidR="00A5099B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shënjimin e produkteve me shenjen e </w:t>
      </w:r>
      <w:proofErr w:type="spellStart"/>
      <w:r w:rsidR="00A5099B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>konformitetit</w:t>
      </w:r>
      <w:proofErr w:type="spellEnd"/>
      <w:r w:rsidR="00A5099B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“CE”</w:t>
      </w:r>
      <w:r w:rsidR="0052458F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apo shenjen </w:t>
      </w:r>
      <w:proofErr w:type="spellStart"/>
      <w:r w:rsidR="0052458F">
        <w:rPr>
          <w:rFonts w:ascii="Times New Roman" w:eastAsia="Calibri" w:hAnsi="Times New Roman"/>
          <w:b/>
          <w:i/>
          <w:sz w:val="24"/>
          <w:szCs w:val="24"/>
          <w:lang w:val="sq-AL"/>
        </w:rPr>
        <w:t>kombetare</w:t>
      </w:r>
      <w:proofErr w:type="spellEnd"/>
      <w:r w:rsidR="0052458F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të </w:t>
      </w:r>
      <w:proofErr w:type="spellStart"/>
      <w:r w:rsidR="0052458F">
        <w:rPr>
          <w:rFonts w:ascii="Times New Roman" w:eastAsia="Calibri" w:hAnsi="Times New Roman"/>
          <w:b/>
          <w:i/>
          <w:sz w:val="24"/>
          <w:szCs w:val="24"/>
          <w:lang w:val="sq-AL"/>
        </w:rPr>
        <w:t>konformitetit</w:t>
      </w:r>
      <w:proofErr w:type="spellEnd"/>
      <w:r w:rsidR="0052458F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si dhe</w:t>
      </w:r>
      <w:r w:rsidR="00A5099B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="007A6E43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hartimin e deklaratës se </w:t>
      </w:r>
      <w:proofErr w:type="spellStart"/>
      <w:r w:rsidR="007A6E43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>përformances</w:t>
      </w:r>
      <w:proofErr w:type="spellEnd"/>
      <w:r w:rsidR="007A6E43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e cila duhet të jete ne dispozicion te autoriteteve te mbikëqyrjes se tregut.</w:t>
      </w:r>
      <w:r w:rsidRPr="00097545">
        <w:rPr>
          <w:lang w:val="sq-AL"/>
        </w:rPr>
        <w:t xml:space="preserve"> </w:t>
      </w:r>
      <w:r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Këto zhvillime do të ndihmojnë në </w:t>
      </w:r>
      <w:r w:rsidR="008F7433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rregullimin e tregut vendor, përmasimin e cilësisë se punimeve ndërtimore si dhe hapë rrugën për </w:t>
      </w:r>
      <w:r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>integrimin e Kosovës në tregun e BE-së përmes largimit të barrierave të pajustifikuara teknike në tregti dhe fuqizimit të pozitës së saj në tregjet e jashtme</w:t>
      </w:r>
    </w:p>
    <w:p w:rsidR="00DF2218" w:rsidRPr="00097545" w:rsidRDefault="00DF2218" w:rsidP="00DF2218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val="sq-AL"/>
        </w:rPr>
      </w:pPr>
    </w:p>
    <w:p w:rsidR="001026DC" w:rsidRPr="00097545" w:rsidRDefault="001026DC" w:rsidP="00770AC5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>Bazuar në Rregulloren nr.</w:t>
      </w:r>
      <w:r w:rsidR="00CE6A48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>09/2011 të Punës së Qeverisë</w:t>
      </w:r>
      <w:r w:rsidR="003C4CC4" w:rsidRPr="00097545">
        <w:rPr>
          <w:rFonts w:ascii="Times New Roman" w:eastAsia="Calibri" w:hAnsi="Times New Roman"/>
          <w:i/>
          <w:sz w:val="24"/>
          <w:szCs w:val="24"/>
          <w:lang w:val="sq-AL"/>
        </w:rPr>
        <w:t>,</w:t>
      </w: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3C4CC4" w:rsidRPr="00097545">
        <w:rPr>
          <w:rFonts w:ascii="Times New Roman" w:eastAsia="Calibri" w:hAnsi="Times New Roman"/>
          <w:i/>
          <w:sz w:val="24"/>
          <w:szCs w:val="24"/>
          <w:lang w:val="sq-AL"/>
        </w:rPr>
        <w:t>Rregulloren nr.13/2013</w:t>
      </w:r>
      <w:r w:rsidR="008F298F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Për Shërbimin Ligjor Qeveritar,</w:t>
      </w:r>
      <w:r w:rsidR="000E4FD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Ministria</w:t>
      </w: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3C4CC4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i ka kaluar hapat e mëposhtëm të procesit legjislativ si:  formimin e grupit punues, pjesëmarrjen në </w:t>
      </w:r>
      <w:r w:rsidR="001569EA" w:rsidRPr="00097545">
        <w:rPr>
          <w:rFonts w:ascii="Times New Roman" w:eastAsia="Calibri" w:hAnsi="Times New Roman"/>
          <w:i/>
          <w:sz w:val="24"/>
          <w:szCs w:val="24"/>
          <w:lang w:val="sq-AL"/>
        </w:rPr>
        <w:t>disa takime me grupin punues</w:t>
      </w:r>
      <w:r w:rsidR="003C4CC4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për </w:t>
      </w:r>
      <w:r w:rsidR="00A15291" w:rsidRPr="00097545">
        <w:rPr>
          <w:rFonts w:ascii="Times New Roman" w:eastAsia="Calibri" w:hAnsi="Times New Roman"/>
          <w:i/>
          <w:sz w:val="24"/>
          <w:szCs w:val="24"/>
          <w:lang w:val="sq-AL"/>
        </w:rPr>
        <w:t>h</w:t>
      </w:r>
      <w:r w:rsidR="003C4CC4" w:rsidRPr="00097545">
        <w:rPr>
          <w:rFonts w:ascii="Times New Roman" w:eastAsia="Calibri" w:hAnsi="Times New Roman"/>
          <w:i/>
          <w:sz w:val="24"/>
          <w:szCs w:val="24"/>
          <w:lang w:val="sq-AL"/>
        </w:rPr>
        <w:t>artimin</w:t>
      </w:r>
      <w:r w:rsidR="00611F1C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e</w:t>
      </w:r>
      <w:r w:rsidR="003C4CC4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770AC5" w:rsidRPr="00770AC5">
        <w:rPr>
          <w:rFonts w:ascii="Times New Roman" w:eastAsia="Calibri" w:hAnsi="Times New Roman"/>
          <w:i/>
          <w:sz w:val="24"/>
          <w:szCs w:val="24"/>
          <w:lang w:val="sq-AL"/>
        </w:rPr>
        <w:t>1.</w:t>
      </w:r>
      <w:r w:rsidR="00770AC5">
        <w:rPr>
          <w:rFonts w:ascii="Times New Roman" w:eastAsia="Calibri" w:hAnsi="Times New Roman"/>
          <w:i/>
          <w:sz w:val="24"/>
          <w:szCs w:val="24"/>
          <w:lang w:val="sq-AL"/>
        </w:rPr>
        <w:t>P</w:t>
      </w:r>
      <w:r w:rsidR="00770AC5" w:rsidRPr="00770AC5">
        <w:rPr>
          <w:rFonts w:ascii="Times New Roman" w:eastAsia="Calibri" w:hAnsi="Times New Roman"/>
          <w:i/>
          <w:sz w:val="24"/>
          <w:szCs w:val="24"/>
          <w:lang w:val="sq-AL"/>
        </w:rPr>
        <w:t xml:space="preserve">rojekt - </w:t>
      </w:r>
      <w:r w:rsidR="00770AC5">
        <w:rPr>
          <w:rFonts w:ascii="Times New Roman" w:eastAsia="Calibri" w:hAnsi="Times New Roman"/>
          <w:i/>
          <w:sz w:val="24"/>
          <w:szCs w:val="24"/>
          <w:lang w:val="sq-AL"/>
        </w:rPr>
        <w:t>U</w:t>
      </w:r>
      <w:r w:rsidR="00770AC5" w:rsidRPr="00770AC5">
        <w:rPr>
          <w:rFonts w:ascii="Times New Roman" w:eastAsia="Calibri" w:hAnsi="Times New Roman"/>
          <w:i/>
          <w:sz w:val="24"/>
          <w:szCs w:val="24"/>
          <w:lang w:val="sq-AL"/>
        </w:rPr>
        <w:t xml:space="preserve">dhëzim </w:t>
      </w:r>
      <w:r w:rsidR="00770AC5">
        <w:rPr>
          <w:rFonts w:ascii="Times New Roman" w:eastAsia="Calibri" w:hAnsi="Times New Roman"/>
          <w:i/>
          <w:sz w:val="24"/>
          <w:szCs w:val="24"/>
          <w:lang w:val="sq-AL"/>
        </w:rPr>
        <w:t>A</w:t>
      </w:r>
      <w:r w:rsidR="00770AC5" w:rsidRPr="00770AC5">
        <w:rPr>
          <w:rFonts w:ascii="Times New Roman" w:eastAsia="Calibri" w:hAnsi="Times New Roman"/>
          <w:i/>
          <w:sz w:val="24"/>
          <w:szCs w:val="24"/>
          <w:lang w:val="sq-AL"/>
        </w:rPr>
        <w:t>dministrativ (MTI) nr.00/2020 për caktimin e kushteve për vendosjen e produkteve për shtrim nga betoni në treg,</w:t>
      </w:r>
      <w:r w:rsidR="000436F8">
        <w:rPr>
          <w:rFonts w:ascii="Times New Roman" w:eastAsia="Calibri" w:hAnsi="Times New Roman"/>
          <w:i/>
          <w:sz w:val="24"/>
          <w:szCs w:val="24"/>
          <w:lang w:val="sq-AL"/>
        </w:rPr>
        <w:t xml:space="preserve"> 2</w:t>
      </w:r>
      <w:r w:rsidR="00770AC5" w:rsidRPr="00770AC5">
        <w:rPr>
          <w:rFonts w:ascii="Times New Roman" w:eastAsia="Calibri" w:hAnsi="Times New Roman"/>
          <w:i/>
          <w:sz w:val="24"/>
          <w:szCs w:val="24"/>
          <w:lang w:val="sq-AL"/>
        </w:rPr>
        <w:t>.</w:t>
      </w:r>
      <w:r w:rsidR="00770AC5">
        <w:rPr>
          <w:rFonts w:ascii="Times New Roman" w:eastAsia="Calibri" w:hAnsi="Times New Roman"/>
          <w:i/>
          <w:sz w:val="24"/>
          <w:szCs w:val="24"/>
          <w:lang w:val="sq-AL"/>
        </w:rPr>
        <w:t>P</w:t>
      </w:r>
      <w:r w:rsidR="00770AC5" w:rsidRPr="00770AC5">
        <w:rPr>
          <w:rFonts w:ascii="Times New Roman" w:eastAsia="Calibri" w:hAnsi="Times New Roman"/>
          <w:i/>
          <w:sz w:val="24"/>
          <w:szCs w:val="24"/>
          <w:lang w:val="sq-AL"/>
        </w:rPr>
        <w:t xml:space="preserve">rojekt - </w:t>
      </w:r>
      <w:r w:rsidR="00770AC5">
        <w:rPr>
          <w:rFonts w:ascii="Times New Roman" w:eastAsia="Calibri" w:hAnsi="Times New Roman"/>
          <w:i/>
          <w:sz w:val="24"/>
          <w:szCs w:val="24"/>
          <w:lang w:val="sq-AL"/>
        </w:rPr>
        <w:t>U</w:t>
      </w:r>
      <w:r w:rsidR="00770AC5" w:rsidRPr="00770AC5">
        <w:rPr>
          <w:rFonts w:ascii="Times New Roman" w:eastAsia="Calibri" w:hAnsi="Times New Roman"/>
          <w:i/>
          <w:sz w:val="24"/>
          <w:szCs w:val="24"/>
          <w:lang w:val="sq-AL"/>
        </w:rPr>
        <w:t xml:space="preserve">dhëzim </w:t>
      </w:r>
      <w:r w:rsidR="00770AC5">
        <w:rPr>
          <w:rFonts w:ascii="Times New Roman" w:eastAsia="Calibri" w:hAnsi="Times New Roman"/>
          <w:i/>
          <w:sz w:val="24"/>
          <w:szCs w:val="24"/>
          <w:lang w:val="sq-AL"/>
        </w:rPr>
        <w:t>A</w:t>
      </w:r>
      <w:r w:rsidR="00770AC5" w:rsidRPr="00770AC5">
        <w:rPr>
          <w:rFonts w:ascii="Times New Roman" w:eastAsia="Calibri" w:hAnsi="Times New Roman"/>
          <w:i/>
          <w:sz w:val="24"/>
          <w:szCs w:val="24"/>
          <w:lang w:val="sq-AL"/>
        </w:rPr>
        <w:t xml:space="preserve">dministrativ (MTI) </w:t>
      </w:r>
      <w:r w:rsidR="00770AC5">
        <w:rPr>
          <w:rFonts w:ascii="Times New Roman" w:eastAsia="Calibri" w:hAnsi="Times New Roman"/>
          <w:i/>
          <w:sz w:val="24"/>
          <w:szCs w:val="24"/>
          <w:lang w:val="sq-AL"/>
        </w:rPr>
        <w:t>N</w:t>
      </w:r>
      <w:r w:rsidR="00770AC5" w:rsidRPr="00770AC5">
        <w:rPr>
          <w:rFonts w:ascii="Times New Roman" w:eastAsia="Calibri" w:hAnsi="Times New Roman"/>
          <w:i/>
          <w:sz w:val="24"/>
          <w:szCs w:val="24"/>
          <w:lang w:val="sq-AL"/>
        </w:rPr>
        <w:t>r.00/2020 për përcaktimin e kushteve për vendosjen e betonit të lëngshëm/gatshëm në treg,</w:t>
      </w:r>
      <w:r w:rsidR="00770AC5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770AC5" w:rsidRPr="00770AC5">
        <w:rPr>
          <w:rFonts w:ascii="Times New Roman" w:eastAsia="Calibri" w:hAnsi="Times New Roman"/>
          <w:i/>
          <w:sz w:val="24"/>
          <w:szCs w:val="24"/>
          <w:lang w:val="sq-AL"/>
        </w:rPr>
        <w:t xml:space="preserve">3. </w:t>
      </w:r>
      <w:r w:rsidR="00770AC5">
        <w:rPr>
          <w:rFonts w:ascii="Times New Roman" w:eastAsia="Calibri" w:hAnsi="Times New Roman"/>
          <w:i/>
          <w:sz w:val="24"/>
          <w:szCs w:val="24"/>
          <w:lang w:val="sq-AL"/>
        </w:rPr>
        <w:t>P</w:t>
      </w:r>
      <w:r w:rsidR="00770AC5" w:rsidRPr="00770AC5">
        <w:rPr>
          <w:rFonts w:ascii="Times New Roman" w:eastAsia="Calibri" w:hAnsi="Times New Roman"/>
          <w:i/>
          <w:sz w:val="24"/>
          <w:szCs w:val="24"/>
          <w:lang w:val="sq-AL"/>
        </w:rPr>
        <w:t xml:space="preserve">rojekt - </w:t>
      </w:r>
      <w:r w:rsidR="00770AC5">
        <w:rPr>
          <w:rFonts w:ascii="Times New Roman" w:eastAsia="Calibri" w:hAnsi="Times New Roman"/>
          <w:i/>
          <w:sz w:val="24"/>
          <w:szCs w:val="24"/>
          <w:lang w:val="sq-AL"/>
        </w:rPr>
        <w:t>U</w:t>
      </w:r>
      <w:r w:rsidR="00770AC5" w:rsidRPr="00770AC5">
        <w:rPr>
          <w:rFonts w:ascii="Times New Roman" w:eastAsia="Calibri" w:hAnsi="Times New Roman"/>
          <w:i/>
          <w:sz w:val="24"/>
          <w:szCs w:val="24"/>
          <w:lang w:val="sq-AL"/>
        </w:rPr>
        <w:t xml:space="preserve">dhëzim </w:t>
      </w:r>
      <w:r w:rsidR="00770AC5">
        <w:rPr>
          <w:rFonts w:ascii="Times New Roman" w:eastAsia="Calibri" w:hAnsi="Times New Roman"/>
          <w:i/>
          <w:sz w:val="24"/>
          <w:szCs w:val="24"/>
          <w:lang w:val="sq-AL"/>
        </w:rPr>
        <w:t>A</w:t>
      </w:r>
      <w:r w:rsidR="00770AC5" w:rsidRPr="00770AC5">
        <w:rPr>
          <w:rFonts w:ascii="Times New Roman" w:eastAsia="Calibri" w:hAnsi="Times New Roman"/>
          <w:i/>
          <w:sz w:val="24"/>
          <w:szCs w:val="24"/>
          <w:lang w:val="sq-AL"/>
        </w:rPr>
        <w:t>dministrativ (MTI) nr.00/2020 për caktimin e kushteve për vendosjen e agregateve dhe mbushësve për beton në treg</w:t>
      </w:r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, konsultimin me </w:t>
      </w:r>
      <w:r w:rsidR="008F7433" w:rsidRPr="00097545">
        <w:rPr>
          <w:rFonts w:ascii="Times New Roman" w:eastAsia="Calibri" w:hAnsi="Times New Roman"/>
          <w:i/>
          <w:sz w:val="24"/>
          <w:szCs w:val="24"/>
          <w:lang w:val="sq-AL"/>
        </w:rPr>
        <w:t>Ministrisë</w:t>
      </w:r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e Ekonomisë dhe </w:t>
      </w:r>
      <w:r w:rsidR="008F7433" w:rsidRPr="00097545">
        <w:rPr>
          <w:rFonts w:ascii="Times New Roman" w:eastAsia="Calibri" w:hAnsi="Times New Roman"/>
          <w:i/>
          <w:sz w:val="24"/>
          <w:szCs w:val="24"/>
          <w:lang w:val="sq-AL"/>
        </w:rPr>
        <w:t>Ambientit</w:t>
      </w:r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(ish Ministrinë e Mjedisit dhe Planifikimit Hapësinor) ne lidhje me përcaktimin e kërkesave </w:t>
      </w:r>
      <w:proofErr w:type="spellStart"/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>rregullatore</w:t>
      </w:r>
      <w:proofErr w:type="spellEnd"/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>, pastaj me Drejtorin</w:t>
      </w:r>
      <w:r w:rsidR="007312FD">
        <w:rPr>
          <w:rFonts w:ascii="Times New Roman" w:eastAsia="Calibri" w:hAnsi="Times New Roman"/>
          <w:i/>
          <w:sz w:val="24"/>
          <w:szCs w:val="24"/>
          <w:lang w:val="sq-AL"/>
        </w:rPr>
        <w:t>ë</w:t>
      </w:r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e Përgjithshme të Akreditimit të Kosovës për te vlerësuar kapacitetet teknike të </w:t>
      </w:r>
      <w:proofErr w:type="spellStart"/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>TVKve</w:t>
      </w:r>
      <w:proofErr w:type="spellEnd"/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(Trupave për Vlerësimin e </w:t>
      </w:r>
      <w:proofErr w:type="spellStart"/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>Konformitetit</w:t>
      </w:r>
      <w:proofErr w:type="spellEnd"/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),të akredituar nëse te njëjtin mund të ofrojnë shërbime certifikimi apo testimi si dhe krejt në fund komunikimi me operator ekonomik (prodhues, importues dhe distributor) </w:t>
      </w:r>
      <w:r w:rsidR="00097545" w:rsidRPr="000436F8">
        <w:rPr>
          <w:rFonts w:ascii="Times New Roman" w:eastAsia="Calibri" w:hAnsi="Times New Roman"/>
          <w:i/>
          <w:sz w:val="24"/>
          <w:szCs w:val="24"/>
          <w:lang w:val="sq-AL"/>
        </w:rPr>
        <w:t xml:space="preserve">të </w:t>
      </w:r>
      <w:r w:rsidR="00253EC4" w:rsidRPr="000436F8">
        <w:rPr>
          <w:rFonts w:ascii="Times New Roman" w:eastAsia="Calibri" w:hAnsi="Times New Roman"/>
          <w:i/>
          <w:sz w:val="24"/>
          <w:szCs w:val="24"/>
          <w:lang w:val="sq-AL"/>
        </w:rPr>
        <w:t>këtyre produkteve</w:t>
      </w:r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për ti njoftuar ata për kërkesat dhe specifikimet teknike të cilat duhet të plotësohet me rastin e prodhimit dhe tregtimit të </w:t>
      </w:r>
      <w:r w:rsidR="008F7433" w:rsidRPr="008F7433">
        <w:rPr>
          <w:rFonts w:ascii="Times New Roman" w:eastAsia="Calibri" w:hAnsi="Times New Roman"/>
          <w:i/>
          <w:sz w:val="24"/>
          <w:szCs w:val="24"/>
          <w:lang w:val="sq-AL"/>
        </w:rPr>
        <w:t>pr</w:t>
      </w:r>
      <w:r w:rsidR="008F7433">
        <w:rPr>
          <w:rFonts w:ascii="Times New Roman" w:eastAsia="Calibri" w:hAnsi="Times New Roman"/>
          <w:i/>
          <w:sz w:val="24"/>
          <w:szCs w:val="24"/>
          <w:lang w:val="sq-AL"/>
        </w:rPr>
        <w:t xml:space="preserve">odukteve të betonit për shtrim, </w:t>
      </w:r>
      <w:r w:rsidR="008F7433" w:rsidRPr="008F7433">
        <w:rPr>
          <w:rFonts w:ascii="Times New Roman" w:eastAsia="Calibri" w:hAnsi="Times New Roman"/>
          <w:i/>
          <w:sz w:val="24"/>
          <w:szCs w:val="24"/>
          <w:lang w:val="sq-AL"/>
        </w:rPr>
        <w:t xml:space="preserve">betonit të lëngshëm, dhe agregateve për beton </w:t>
      </w:r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>siç përcaktohet në draft Udhëzim</w:t>
      </w:r>
      <w:r w:rsidR="008F7433">
        <w:rPr>
          <w:rFonts w:ascii="Times New Roman" w:eastAsia="Calibri" w:hAnsi="Times New Roman"/>
          <w:i/>
          <w:sz w:val="24"/>
          <w:szCs w:val="24"/>
          <w:lang w:val="sq-AL"/>
        </w:rPr>
        <w:t>et</w:t>
      </w:r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Administrativ</w:t>
      </w:r>
      <w:r w:rsidR="008F7433">
        <w:rPr>
          <w:rFonts w:ascii="Times New Roman" w:eastAsia="Calibri" w:hAnsi="Times New Roman"/>
          <w:i/>
          <w:sz w:val="24"/>
          <w:szCs w:val="24"/>
          <w:lang w:val="sq-AL"/>
        </w:rPr>
        <w:t>e të cilat mbulojnë këto produkte</w:t>
      </w:r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>.</w:t>
      </w:r>
    </w:p>
    <w:p w:rsidR="0079131E" w:rsidRPr="00097545" w:rsidRDefault="0079131E" w:rsidP="001026D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79131E" w:rsidRPr="00097545" w:rsidRDefault="0079131E" w:rsidP="00B22B5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Qëllimi dhe fushëveprimi i konsultimit </w:t>
      </w:r>
      <w:r w:rsidR="000E4FD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gjatë hartimit të politikave </w:t>
      </w: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>është me rëndësi që të gjithë</w:t>
      </w:r>
      <w:r w:rsidR="000E4FD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ata që janë të përfshirë në procesin e konsultimit të jenë të njohur qysh prej fillimit me qëllimin dhe </w:t>
      </w: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>fushëveprimin</w:t>
      </w:r>
      <w:r w:rsidR="000E4FD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e </w:t>
      </w:r>
      <w:r w:rsidR="0068520F" w:rsidRPr="00097545">
        <w:rPr>
          <w:rFonts w:ascii="Times New Roman" w:eastAsia="Calibri" w:hAnsi="Times New Roman"/>
          <w:i/>
          <w:sz w:val="24"/>
          <w:szCs w:val="24"/>
          <w:lang w:val="sq-AL"/>
        </w:rPr>
        <w:t>kë</w:t>
      </w:r>
      <w:r w:rsidR="00B55742" w:rsidRPr="00097545">
        <w:rPr>
          <w:rFonts w:ascii="Times New Roman" w:eastAsia="Calibri" w:hAnsi="Times New Roman"/>
          <w:i/>
          <w:sz w:val="24"/>
          <w:szCs w:val="24"/>
          <w:lang w:val="sq-AL"/>
        </w:rPr>
        <w:t>t</w:t>
      </w:r>
      <w:r w:rsidR="008F7433">
        <w:rPr>
          <w:rFonts w:ascii="Times New Roman" w:eastAsia="Calibri" w:hAnsi="Times New Roman"/>
          <w:i/>
          <w:sz w:val="24"/>
          <w:szCs w:val="24"/>
          <w:lang w:val="sq-AL"/>
        </w:rPr>
        <w:t>yre</w:t>
      </w:r>
      <w:r w:rsidR="0068520F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B55742" w:rsidRPr="00097545">
        <w:rPr>
          <w:rFonts w:ascii="Times New Roman" w:eastAsia="Calibri" w:hAnsi="Times New Roman"/>
          <w:i/>
          <w:sz w:val="24"/>
          <w:szCs w:val="24"/>
          <w:lang w:val="sq-AL"/>
        </w:rPr>
        <w:t>Projekt - Udhëzim</w:t>
      </w:r>
      <w:r w:rsidR="008F7433">
        <w:rPr>
          <w:rFonts w:ascii="Times New Roman" w:eastAsia="Calibri" w:hAnsi="Times New Roman"/>
          <w:i/>
          <w:sz w:val="24"/>
          <w:szCs w:val="24"/>
          <w:lang w:val="sq-AL"/>
        </w:rPr>
        <w:t>eve</w:t>
      </w:r>
      <w:r w:rsidR="00B55742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Administrativ</w:t>
      </w:r>
      <w:r w:rsidR="008F7433">
        <w:rPr>
          <w:rFonts w:ascii="Times New Roman" w:eastAsia="Calibri" w:hAnsi="Times New Roman"/>
          <w:i/>
          <w:sz w:val="24"/>
          <w:szCs w:val="24"/>
          <w:lang w:val="sq-AL"/>
        </w:rPr>
        <w:t>e</w:t>
      </w:r>
      <w:r w:rsidR="000E4FD6" w:rsidRPr="00097545">
        <w:rPr>
          <w:rFonts w:ascii="Times New Roman" w:eastAsia="Calibri" w:hAnsi="Times New Roman"/>
          <w:i/>
          <w:sz w:val="24"/>
          <w:szCs w:val="24"/>
          <w:lang w:val="sq-AL"/>
        </w:rPr>
        <w:t>.</w:t>
      </w: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0E4FD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Kjo </w:t>
      </w:r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>i ka</w:t>
      </w:r>
      <w:r w:rsidR="000E4FD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ndihm</w:t>
      </w:r>
      <w:r w:rsidR="0009754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uar Ministrisë se Tregtisë dhe Industrisë </w:t>
      </w:r>
      <w:r w:rsidR="000E4FD6" w:rsidRPr="00097545">
        <w:rPr>
          <w:rFonts w:ascii="Times New Roman" w:eastAsia="Calibri" w:hAnsi="Times New Roman"/>
          <w:i/>
          <w:sz w:val="24"/>
          <w:szCs w:val="24"/>
          <w:lang w:val="sq-AL"/>
        </w:rPr>
        <w:t>për të analizuar gjendjen, identifikimin e problemeve, opsioneve</w:t>
      </w:r>
      <w:r w:rsidR="008F298F" w:rsidRPr="00097545">
        <w:rPr>
          <w:rFonts w:ascii="Times New Roman" w:eastAsia="Calibri" w:hAnsi="Times New Roman"/>
          <w:i/>
          <w:sz w:val="24"/>
          <w:szCs w:val="24"/>
          <w:lang w:val="sq-AL"/>
        </w:rPr>
        <w:t>,</w:t>
      </w:r>
      <w:r w:rsidR="000E4FD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përgatitjen e</w:t>
      </w: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rekomandimeve</w:t>
      </w:r>
      <w:r w:rsidR="000E4FD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8F298F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dhe </w:t>
      </w:r>
      <w:r w:rsidR="000E4FD6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propozimeve </w:t>
      </w:r>
      <w:r w:rsidR="0026542E" w:rsidRPr="00097545">
        <w:rPr>
          <w:rFonts w:ascii="Times New Roman" w:eastAsia="Calibri" w:hAnsi="Times New Roman"/>
          <w:i/>
          <w:sz w:val="24"/>
          <w:szCs w:val="24"/>
          <w:lang w:val="sq-AL"/>
        </w:rPr>
        <w:t>nga palët</w:t>
      </w:r>
      <w:r w:rsid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e interesit</w:t>
      </w:r>
      <w:r w:rsidR="008F298F" w:rsidRPr="00097545">
        <w:rPr>
          <w:rFonts w:ascii="Times New Roman" w:eastAsia="Calibri" w:hAnsi="Times New Roman"/>
          <w:i/>
          <w:sz w:val="24"/>
          <w:szCs w:val="24"/>
          <w:lang w:val="sq-AL"/>
        </w:rPr>
        <w:t>,</w:t>
      </w:r>
      <w:r w:rsidR="0026542E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0E4FD6" w:rsidRPr="00097545">
        <w:rPr>
          <w:rFonts w:ascii="Times New Roman" w:eastAsia="Calibri" w:hAnsi="Times New Roman"/>
          <w:i/>
          <w:sz w:val="24"/>
          <w:szCs w:val="24"/>
          <w:lang w:val="sq-AL"/>
        </w:rPr>
        <w:t>p</w:t>
      </w:r>
      <w:r w:rsidR="0068520F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ër </w:t>
      </w:r>
      <w:r w:rsidR="00097545">
        <w:rPr>
          <w:rFonts w:ascii="Times New Roman" w:eastAsia="Calibri" w:hAnsi="Times New Roman"/>
          <w:i/>
          <w:sz w:val="24"/>
          <w:szCs w:val="24"/>
          <w:lang w:val="sq-AL"/>
        </w:rPr>
        <w:t>finalizimin e</w:t>
      </w:r>
      <w:r w:rsidR="0068520F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7312FD">
        <w:rPr>
          <w:rFonts w:ascii="Times New Roman" w:eastAsia="Calibri" w:hAnsi="Times New Roman"/>
          <w:i/>
          <w:sz w:val="24"/>
          <w:szCs w:val="24"/>
          <w:lang w:val="sq-AL"/>
        </w:rPr>
        <w:t>akteve nënligjore të lartcekura</w:t>
      </w:r>
      <w:r w:rsidR="001622CE" w:rsidRPr="00097545">
        <w:rPr>
          <w:rFonts w:ascii="Times New Roman" w:eastAsia="Calibri" w:hAnsi="Times New Roman"/>
          <w:i/>
          <w:sz w:val="24"/>
          <w:szCs w:val="24"/>
          <w:lang w:val="sq-AL"/>
        </w:rPr>
        <w:t>.</w:t>
      </w:r>
    </w:p>
    <w:p w:rsidR="001026DC" w:rsidRPr="00097545" w:rsidRDefault="001026DC" w:rsidP="00DC4A9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DC4A9B" w:rsidRPr="00097545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097545">
        <w:rPr>
          <w:rFonts w:ascii="Times New Roman" w:eastAsia="Calibri" w:hAnsi="Times New Roman"/>
          <w:b/>
          <w:sz w:val="24"/>
          <w:szCs w:val="24"/>
          <w:lang w:val="sq-AL"/>
        </w:rPr>
        <w:t xml:space="preserve">Ecuria </w:t>
      </w:r>
      <w:r w:rsidR="00CE6A48" w:rsidRPr="00097545">
        <w:rPr>
          <w:rFonts w:ascii="Times New Roman" w:eastAsia="Calibri" w:hAnsi="Times New Roman"/>
          <w:b/>
          <w:sz w:val="24"/>
          <w:szCs w:val="24"/>
          <w:lang w:val="sq-AL"/>
        </w:rPr>
        <w:t xml:space="preserve">e </w:t>
      </w:r>
      <w:r w:rsidRPr="00097545">
        <w:rPr>
          <w:rFonts w:ascii="Times New Roman" w:eastAsia="Calibri" w:hAnsi="Times New Roman"/>
          <w:b/>
          <w:sz w:val="24"/>
          <w:szCs w:val="24"/>
          <w:lang w:val="sq-AL"/>
        </w:rPr>
        <w:t>procesit të konsultimit</w:t>
      </w:r>
    </w:p>
    <w:p w:rsidR="00DC4A9B" w:rsidRPr="00097545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E673B1" w:rsidRPr="00097545" w:rsidRDefault="00983DEE" w:rsidP="00B22B5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>Duke pasur parasysh se procesi i</w:t>
      </w:r>
      <w:r w:rsidR="00BD7595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konsultimeve është realizuar dhe është </w:t>
      </w: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zhvilluar </w:t>
      </w:r>
      <w:proofErr w:type="spellStart"/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>konform</w:t>
      </w:r>
      <w:proofErr w:type="spellEnd"/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rregullave dhe procedura</w:t>
      </w:r>
      <w:r w:rsidR="00645408" w:rsidRPr="00097545">
        <w:rPr>
          <w:rFonts w:ascii="Times New Roman" w:eastAsia="Calibri" w:hAnsi="Times New Roman"/>
          <w:i/>
          <w:sz w:val="24"/>
          <w:szCs w:val="24"/>
          <w:lang w:val="sq-AL"/>
        </w:rPr>
        <w:t>ve</w:t>
      </w: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të përcaktuara në Rregulloren për Punën e Qeverisë nr. 09/2011, </w:t>
      </w:r>
      <w:r w:rsidR="008C2B5B" w:rsidRPr="00097545">
        <w:rPr>
          <w:rFonts w:ascii="Times New Roman" w:eastAsia="Calibri" w:hAnsi="Times New Roman"/>
          <w:i/>
          <w:sz w:val="24"/>
          <w:szCs w:val="24"/>
          <w:lang w:val="sq-AL"/>
        </w:rPr>
        <w:t>Rregulloren N</w:t>
      </w:r>
      <w:r w:rsidR="00386BF1" w:rsidRPr="00097545">
        <w:rPr>
          <w:rFonts w:ascii="Times New Roman" w:eastAsia="Calibri" w:hAnsi="Times New Roman"/>
          <w:i/>
          <w:sz w:val="24"/>
          <w:szCs w:val="24"/>
          <w:lang w:val="sq-AL"/>
        </w:rPr>
        <w:t>r</w:t>
      </w:r>
      <w:r w:rsidR="008C2B5B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. 05/2016 Për standardet minimale për procesin e konsultimit publik, </w:t>
      </w: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>Udhëzuesin për procesin e konsultimeve Nr.062/2011 dt. 26.09.2011,</w:t>
      </w:r>
      <w:r w:rsidR="00C85E8B" w:rsidRPr="00097545">
        <w:rPr>
          <w:rFonts w:ascii="Times New Roman" w:hAnsi="Times New Roman"/>
          <w:lang w:val="sq-AL"/>
        </w:rPr>
        <w:t xml:space="preserve"> </w:t>
      </w:r>
      <w:r w:rsidR="00C85E8B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Ministria e Tregtisë dhe Industrisë, si organ propozues i këtij akti </w:t>
      </w:r>
      <w:r w:rsidR="008879E6" w:rsidRPr="00097545">
        <w:rPr>
          <w:rFonts w:ascii="Times New Roman" w:eastAsia="Calibri" w:hAnsi="Times New Roman"/>
          <w:i/>
          <w:sz w:val="24"/>
          <w:szCs w:val="24"/>
          <w:lang w:val="sq-AL"/>
        </w:rPr>
        <w:t>nën</w:t>
      </w:r>
      <w:r w:rsidR="00C85E8B" w:rsidRPr="00097545">
        <w:rPr>
          <w:rFonts w:ascii="Times New Roman" w:eastAsia="Calibri" w:hAnsi="Times New Roman"/>
          <w:i/>
          <w:sz w:val="24"/>
          <w:szCs w:val="24"/>
          <w:lang w:val="sq-AL"/>
        </w:rPr>
        <w:t>ligjor ka zhvilluar procesin e konsultimeve paraprake dhe p</w:t>
      </w:r>
      <w:r w:rsidR="008879E6" w:rsidRPr="00097545">
        <w:rPr>
          <w:rFonts w:ascii="Times New Roman" w:eastAsia="Calibri" w:hAnsi="Times New Roman"/>
          <w:i/>
          <w:sz w:val="24"/>
          <w:szCs w:val="24"/>
          <w:lang w:val="sq-AL"/>
        </w:rPr>
        <w:t>ublike në të cilën peri</w:t>
      </w:r>
      <w:r w:rsidR="0068520F" w:rsidRPr="00097545">
        <w:rPr>
          <w:rFonts w:ascii="Times New Roman" w:eastAsia="Calibri" w:hAnsi="Times New Roman"/>
          <w:i/>
          <w:sz w:val="24"/>
          <w:szCs w:val="24"/>
          <w:lang w:val="sq-AL"/>
        </w:rPr>
        <w:t>udhë</w:t>
      </w:r>
      <w:r w:rsidR="00C85E8B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e  ka dërguar në Konsultim t</w:t>
      </w:r>
      <w:r w:rsidR="00611F1C" w:rsidRPr="00097545">
        <w:rPr>
          <w:rFonts w:ascii="Times New Roman" w:eastAsia="Calibri" w:hAnsi="Times New Roman"/>
          <w:i/>
          <w:sz w:val="24"/>
          <w:szCs w:val="24"/>
          <w:lang w:val="sq-AL"/>
        </w:rPr>
        <w:t>ë</w:t>
      </w:r>
      <w:r w:rsidR="00C85E8B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proofErr w:type="spellStart"/>
      <w:r w:rsidR="00C85E8B" w:rsidRPr="00097545">
        <w:rPr>
          <w:rFonts w:ascii="Times New Roman" w:eastAsia="Calibri" w:hAnsi="Times New Roman"/>
          <w:i/>
          <w:sz w:val="24"/>
          <w:szCs w:val="24"/>
          <w:lang w:val="sq-AL"/>
        </w:rPr>
        <w:t>të</w:t>
      </w:r>
      <w:proofErr w:type="spellEnd"/>
      <w:r w:rsidR="00C85E8B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gjitha institucionet përkatëse dhe shoqatat relevante, që t’ju ofrojë informata për publikun e në veçanti për grupet e interesit me qëllim të merret mendimi i publikut dhe grupeve të interesit </w:t>
      </w:r>
      <w:r w:rsidR="00386BF1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rreth hartimit të </w:t>
      </w:r>
      <w:r w:rsidR="007312FD">
        <w:rPr>
          <w:rFonts w:ascii="Times New Roman" w:eastAsia="Calibri" w:hAnsi="Times New Roman"/>
          <w:i/>
          <w:sz w:val="24"/>
          <w:szCs w:val="24"/>
          <w:lang w:val="sq-AL"/>
        </w:rPr>
        <w:t xml:space="preserve">këtyre </w:t>
      </w:r>
      <w:r w:rsidR="00B55742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Projekt - </w:t>
      </w:r>
      <w:r w:rsidR="0091294D" w:rsidRPr="0091294D">
        <w:rPr>
          <w:rFonts w:ascii="Times New Roman" w:eastAsia="Calibri" w:hAnsi="Times New Roman"/>
          <w:i/>
          <w:sz w:val="24"/>
          <w:szCs w:val="24"/>
          <w:lang w:val="sq-AL"/>
        </w:rPr>
        <w:t>Udhëzim</w:t>
      </w:r>
      <w:r w:rsidR="007312FD">
        <w:rPr>
          <w:rFonts w:ascii="Times New Roman" w:eastAsia="Calibri" w:hAnsi="Times New Roman"/>
          <w:i/>
          <w:sz w:val="24"/>
          <w:szCs w:val="24"/>
          <w:lang w:val="sq-AL"/>
        </w:rPr>
        <w:t>eve</w:t>
      </w:r>
      <w:r w:rsidR="0091294D" w:rsidRPr="0091294D">
        <w:rPr>
          <w:rFonts w:ascii="Times New Roman" w:eastAsia="Calibri" w:hAnsi="Times New Roman"/>
          <w:i/>
          <w:sz w:val="24"/>
          <w:szCs w:val="24"/>
          <w:lang w:val="sq-AL"/>
        </w:rPr>
        <w:t xml:space="preserve"> Administrativ</w:t>
      </w:r>
      <w:r w:rsidR="007312FD">
        <w:rPr>
          <w:rFonts w:ascii="Times New Roman" w:eastAsia="Calibri" w:hAnsi="Times New Roman"/>
          <w:i/>
          <w:sz w:val="24"/>
          <w:szCs w:val="24"/>
          <w:lang w:val="sq-AL"/>
        </w:rPr>
        <w:t>e</w:t>
      </w:r>
      <w:r w:rsidR="0091294D">
        <w:rPr>
          <w:rFonts w:ascii="Times New Roman" w:eastAsia="Calibri" w:hAnsi="Times New Roman"/>
          <w:i/>
          <w:sz w:val="24"/>
          <w:szCs w:val="24"/>
          <w:lang w:val="sq-AL"/>
        </w:rPr>
        <w:t>.</w:t>
      </w:r>
    </w:p>
    <w:p w:rsidR="00E673B1" w:rsidRPr="00097545" w:rsidRDefault="00E673B1" w:rsidP="008C2B5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7312FD" w:rsidRDefault="00E673B1" w:rsidP="00B22B53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val="sq-AL"/>
        </w:rPr>
      </w:pP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>G</w:t>
      </w:r>
      <w:r w:rsidR="00983DEE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jatë kësaj periudhe lidhur me </w:t>
      </w:r>
      <w:r w:rsidR="007312FD">
        <w:rPr>
          <w:rFonts w:ascii="Times New Roman" w:eastAsia="Calibri" w:hAnsi="Times New Roman"/>
          <w:i/>
          <w:sz w:val="24"/>
          <w:szCs w:val="24"/>
          <w:lang w:val="sq-AL"/>
        </w:rPr>
        <w:t xml:space="preserve">këto </w:t>
      </w:r>
      <w:r w:rsidR="00B55742" w:rsidRPr="00097545">
        <w:rPr>
          <w:rFonts w:ascii="Times New Roman" w:eastAsia="Calibri" w:hAnsi="Times New Roman"/>
          <w:i/>
          <w:sz w:val="24"/>
          <w:szCs w:val="24"/>
          <w:lang w:val="sq-AL"/>
        </w:rPr>
        <w:t>Pr</w:t>
      </w:r>
      <w:r w:rsidR="007312FD">
        <w:rPr>
          <w:rFonts w:ascii="Times New Roman" w:eastAsia="Calibri" w:hAnsi="Times New Roman"/>
          <w:i/>
          <w:sz w:val="24"/>
          <w:szCs w:val="24"/>
          <w:lang w:val="sq-AL"/>
        </w:rPr>
        <w:t xml:space="preserve">ojekt - Udhëzime Administrative </w:t>
      </w:r>
      <w:r w:rsid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nuk </w:t>
      </w:r>
      <w:r w:rsidR="00191BEB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>kemi pranuar komente</w:t>
      </w:r>
      <w:r w:rsidR="00461838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nga pal</w:t>
      </w:r>
      <w:r w:rsidR="001622CE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>ë</w:t>
      </w:r>
      <w:r w:rsidR="00B55742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>t</w:t>
      </w:r>
      <w:r w:rsidR="00461838" w:rsidRPr="0009754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e interesit</w:t>
      </w:r>
      <w:r w:rsidR="007312FD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në lidhje me materien, përmbajtjen, detyrimet e palëve të cilat do të përfshihen ë zbatimin e këtyre dispozitave. </w:t>
      </w:r>
    </w:p>
    <w:p w:rsidR="007312FD" w:rsidRDefault="007312FD" w:rsidP="00B22B53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val="sq-AL"/>
        </w:rPr>
      </w:pPr>
    </w:p>
    <w:p w:rsidR="00983DEE" w:rsidRPr="007312FD" w:rsidRDefault="007312FD" w:rsidP="00B22B5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7312FD">
        <w:rPr>
          <w:rFonts w:ascii="Times New Roman" w:eastAsia="Calibri" w:hAnsi="Times New Roman"/>
          <w:i/>
          <w:sz w:val="24"/>
          <w:szCs w:val="24"/>
          <w:lang w:val="sq-AL"/>
        </w:rPr>
        <w:t>K</w:t>
      </w:r>
      <w:r w:rsidRPr="007312FD">
        <w:rPr>
          <w:rFonts w:ascii="Times New Roman" w:eastAsia="Calibri" w:hAnsi="Times New Roman"/>
          <w:i/>
          <w:noProof/>
          <w:sz w:val="24"/>
          <w:szCs w:val="24"/>
          <w:lang w:val="sq-AL"/>
        </w:rPr>
        <w:t>emi pranuar disa propozime per perkthimin e disa termeve teknike per produktete e mbuluara nga këto</w:t>
      </w:r>
      <w:r w:rsidRPr="007312FD">
        <w:t xml:space="preserve"> </w:t>
      </w:r>
      <w:r w:rsidRPr="007312FD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Projekt - Udhëzime Administrative nga Laboratori i akredituar IBMS, të cilat janë inkorporuar/rregulluar ne bashkpunim me Departamentin Ligjor të MTI-së. </w:t>
      </w:r>
      <w:r w:rsidR="00191BEB" w:rsidRPr="007312FD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</w:p>
    <w:p w:rsidR="00DB0104" w:rsidRPr="00097545" w:rsidRDefault="00DB0104" w:rsidP="00B22B53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val="sq-AL"/>
        </w:rPr>
      </w:pPr>
    </w:p>
    <w:p w:rsidR="005D65F8" w:rsidRPr="00097545" w:rsidRDefault="005D65F8" w:rsidP="00DC4A9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DC4A9B" w:rsidRPr="00097545" w:rsidRDefault="005D65F8" w:rsidP="00DC4A9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>Kohëzgjatja</w:t>
      </w:r>
      <w:r w:rsidR="00DC4A9B"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e procesit të kons</w:t>
      </w:r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ultimit të dokumentit në fjalë, është bërë </w:t>
      </w:r>
      <w:proofErr w:type="spellStart"/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>konform</w:t>
      </w:r>
      <w:proofErr w:type="spellEnd"/>
      <w:r w:rsidRPr="00097545">
        <w:rPr>
          <w:rFonts w:ascii="Times New Roman" w:eastAsia="Calibri" w:hAnsi="Times New Roman"/>
          <w:i/>
          <w:sz w:val="24"/>
          <w:szCs w:val="24"/>
          <w:lang w:val="sq-AL"/>
        </w:rPr>
        <w:t xml:space="preserve"> Rregullores për Punën e Qeverisë nr. 09/2011.</w:t>
      </w:r>
    </w:p>
    <w:p w:rsidR="00DC4A9B" w:rsidRPr="00097545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DC4A9B" w:rsidRPr="00097545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tbl>
      <w:tblPr>
        <w:tblStyle w:val="GridTable1Light-Accent51"/>
        <w:tblW w:w="19791" w:type="dxa"/>
        <w:tblLayout w:type="fixed"/>
        <w:tblLook w:val="04A0" w:firstRow="1" w:lastRow="0" w:firstColumn="1" w:lastColumn="0" w:noHBand="0" w:noVBand="1"/>
      </w:tblPr>
      <w:tblGrid>
        <w:gridCol w:w="2448"/>
        <w:gridCol w:w="1260"/>
        <w:gridCol w:w="540"/>
        <w:gridCol w:w="1080"/>
        <w:gridCol w:w="1080"/>
        <w:gridCol w:w="6759"/>
        <w:gridCol w:w="1679"/>
        <w:gridCol w:w="1483"/>
        <w:gridCol w:w="1300"/>
        <w:gridCol w:w="2162"/>
      </w:tblGrid>
      <w:tr w:rsidR="005358C2" w:rsidRPr="00097545" w:rsidTr="0053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>Metodat e Konsultimit</w:t>
            </w:r>
          </w:p>
        </w:tc>
        <w:tc>
          <w:tcPr>
            <w:tcW w:w="126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>Datat/kohëzgjatja</w:t>
            </w:r>
          </w:p>
        </w:tc>
        <w:tc>
          <w:tcPr>
            <w:tcW w:w="540" w:type="dxa"/>
            <w:shd w:val="clear" w:color="auto" w:fill="FBE4D5"/>
          </w:tcPr>
          <w:p w:rsidR="00717A99" w:rsidRPr="00097545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>Numri i pjes</w:t>
            </w:r>
            <w:r w:rsidR="00CE6A48" w:rsidRPr="00097545">
              <w:rPr>
                <w:rFonts w:ascii="Times New Roman" w:hAnsi="Times New Roman"/>
                <w:sz w:val="20"/>
                <w:szCs w:val="24"/>
                <w:lang w:val="sq-AL"/>
              </w:rPr>
              <w:t>ë</w:t>
            </w: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>marr</w:t>
            </w:r>
            <w:r w:rsidR="00CE6A48" w:rsidRPr="00097545">
              <w:rPr>
                <w:rFonts w:ascii="Times New Roman" w:hAnsi="Times New Roman"/>
                <w:sz w:val="20"/>
                <w:szCs w:val="24"/>
                <w:lang w:val="sq-AL"/>
              </w:rPr>
              <w:t>ë</w:t>
            </w: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 xml:space="preserve">sve </w:t>
            </w: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61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>Numri i pjes</w:t>
            </w:r>
            <w:r w:rsidR="00CE6A48" w:rsidRPr="00097545">
              <w:rPr>
                <w:rFonts w:ascii="Times New Roman" w:hAnsi="Times New Roman"/>
                <w:sz w:val="20"/>
                <w:szCs w:val="24"/>
                <w:lang w:val="sq-AL"/>
              </w:rPr>
              <w:t>ë</w:t>
            </w: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>marr</w:t>
            </w:r>
            <w:r w:rsidR="00CE6A48" w:rsidRPr="00097545">
              <w:rPr>
                <w:rFonts w:ascii="Times New Roman" w:hAnsi="Times New Roman"/>
                <w:sz w:val="20"/>
                <w:szCs w:val="24"/>
                <w:lang w:val="sq-AL"/>
              </w:rPr>
              <w:t>ë</w:t>
            </w: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>sve t</w:t>
            </w:r>
            <w:r w:rsidR="00611F1C" w:rsidRPr="00097545">
              <w:rPr>
                <w:rFonts w:ascii="Times New Roman" w:hAnsi="Times New Roman"/>
                <w:sz w:val="20"/>
                <w:szCs w:val="24"/>
                <w:lang w:val="sq-AL"/>
              </w:rPr>
              <w:t>ë</w:t>
            </w: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 xml:space="preserve"> </w:t>
            </w:r>
            <w:proofErr w:type="spellStart"/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>cilet</w:t>
            </w:r>
            <w:proofErr w:type="spellEnd"/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 xml:space="preserve"> kan</w:t>
            </w:r>
            <w:r w:rsidR="00611F1C" w:rsidRPr="00097545">
              <w:rPr>
                <w:rFonts w:ascii="Times New Roman" w:hAnsi="Times New Roman"/>
                <w:sz w:val="20"/>
                <w:szCs w:val="24"/>
                <w:lang w:val="sq-AL"/>
              </w:rPr>
              <w:t>ë</w:t>
            </w: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 xml:space="preserve"> kontribuar </w:t>
            </w: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53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>Numri i komenteve  te pranuara</w:t>
            </w:r>
          </w:p>
        </w:tc>
        <w:tc>
          <w:tcPr>
            <w:tcW w:w="6759" w:type="dxa"/>
            <w:shd w:val="clear" w:color="auto" w:fill="FBE4D5"/>
          </w:tcPr>
          <w:p w:rsidR="00717A99" w:rsidRPr="00097545" w:rsidRDefault="00717A99" w:rsidP="0053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9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 xml:space="preserve">Numri i </w:t>
            </w:r>
            <w:proofErr w:type="spellStart"/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>pjesmarresve</w:t>
            </w:r>
            <w:proofErr w:type="spellEnd"/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 xml:space="preserve"> </w:t>
            </w:r>
          </w:p>
        </w:tc>
        <w:tc>
          <w:tcPr>
            <w:tcW w:w="130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 xml:space="preserve">Numri i </w:t>
            </w:r>
            <w:proofErr w:type="spellStart"/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>pjesmarresve</w:t>
            </w:r>
            <w:proofErr w:type="spellEnd"/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 xml:space="preserve"> te </w:t>
            </w:r>
            <w:proofErr w:type="spellStart"/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>cilet</w:t>
            </w:r>
            <w:proofErr w:type="spellEnd"/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 xml:space="preserve">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sz w:val="20"/>
                <w:szCs w:val="24"/>
                <w:lang w:val="sq-AL"/>
              </w:rPr>
              <w:t>Numri i komenteve  te pranuara</w:t>
            </w:r>
          </w:p>
        </w:tc>
      </w:tr>
      <w:tr w:rsidR="00140DFD" w:rsidRPr="00097545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1260" w:type="dxa"/>
            <w:shd w:val="clear" w:color="auto" w:fill="FBE4D5"/>
          </w:tcPr>
          <w:p w:rsidR="001C572B" w:rsidRPr="00097545" w:rsidRDefault="001C572B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sz w:val="21"/>
                <w:szCs w:val="24"/>
                <w:lang w:val="sq-AL"/>
              </w:rPr>
              <w:t xml:space="preserve">Data e fillimit: </w:t>
            </w:r>
            <w:r w:rsidR="000A53E9">
              <w:rPr>
                <w:rFonts w:ascii="Times New Roman" w:hAnsi="Times New Roman"/>
                <w:sz w:val="21"/>
                <w:szCs w:val="24"/>
                <w:highlight w:val="yellow"/>
                <w:lang w:val="sq-AL"/>
              </w:rPr>
              <w:t>09</w:t>
            </w:r>
            <w:r w:rsidR="00983FFD" w:rsidRPr="00213DAC">
              <w:rPr>
                <w:rFonts w:ascii="Times New Roman" w:hAnsi="Times New Roman"/>
                <w:sz w:val="21"/>
                <w:szCs w:val="24"/>
                <w:highlight w:val="yellow"/>
                <w:lang w:val="sq-AL"/>
              </w:rPr>
              <w:t>/</w:t>
            </w:r>
            <w:r w:rsidR="00213DAC" w:rsidRPr="00213DAC">
              <w:rPr>
                <w:rFonts w:ascii="Times New Roman" w:hAnsi="Times New Roman"/>
                <w:sz w:val="21"/>
                <w:szCs w:val="24"/>
                <w:highlight w:val="yellow"/>
                <w:lang w:val="sq-AL"/>
              </w:rPr>
              <w:t>0</w:t>
            </w:r>
            <w:r w:rsidR="000A53E9">
              <w:rPr>
                <w:rFonts w:ascii="Times New Roman" w:hAnsi="Times New Roman"/>
                <w:sz w:val="21"/>
                <w:szCs w:val="24"/>
                <w:highlight w:val="yellow"/>
                <w:lang w:val="sq-AL"/>
              </w:rPr>
              <w:t>9</w:t>
            </w:r>
            <w:r w:rsidR="00983FFD" w:rsidRPr="00213DAC">
              <w:rPr>
                <w:rFonts w:ascii="Times New Roman" w:hAnsi="Times New Roman"/>
                <w:sz w:val="21"/>
                <w:szCs w:val="24"/>
                <w:highlight w:val="yellow"/>
                <w:lang w:val="sq-AL"/>
              </w:rPr>
              <w:t>/</w:t>
            </w:r>
            <w:r w:rsidR="0073470C" w:rsidRPr="00213DAC">
              <w:rPr>
                <w:rFonts w:ascii="Times New Roman" w:hAnsi="Times New Roman"/>
                <w:sz w:val="21"/>
                <w:szCs w:val="24"/>
                <w:highlight w:val="yellow"/>
                <w:lang w:val="sq-AL"/>
              </w:rPr>
              <w:t>20</w:t>
            </w:r>
            <w:r w:rsidR="00213DAC" w:rsidRPr="00213DAC">
              <w:rPr>
                <w:rFonts w:ascii="Times New Roman" w:hAnsi="Times New Roman"/>
                <w:sz w:val="21"/>
                <w:szCs w:val="24"/>
                <w:highlight w:val="yellow"/>
                <w:lang w:val="sq-AL"/>
              </w:rPr>
              <w:t>20</w:t>
            </w:r>
            <w:r w:rsidR="0073470C" w:rsidRPr="00097545">
              <w:rPr>
                <w:rFonts w:ascii="Times New Roman" w:hAnsi="Times New Roman"/>
                <w:sz w:val="21"/>
                <w:szCs w:val="24"/>
                <w:lang w:val="sq-AL"/>
              </w:rPr>
              <w:t xml:space="preserve">    </w:t>
            </w:r>
            <w:r w:rsidRPr="00097545">
              <w:rPr>
                <w:rFonts w:ascii="Times New Roman" w:hAnsi="Times New Roman"/>
                <w:sz w:val="21"/>
                <w:szCs w:val="24"/>
                <w:lang w:val="sq-AL"/>
              </w:rPr>
              <w:t>Data e përfundimi</w:t>
            </w:r>
            <w:r w:rsidR="00213DAC">
              <w:rPr>
                <w:rFonts w:ascii="Times New Roman" w:hAnsi="Times New Roman"/>
                <w:sz w:val="21"/>
                <w:szCs w:val="24"/>
                <w:lang w:val="sq-AL"/>
              </w:rPr>
              <w:t>t</w:t>
            </w:r>
            <w:r w:rsidR="000A53E9">
              <w:rPr>
                <w:rFonts w:ascii="Times New Roman" w:hAnsi="Times New Roman"/>
                <w:sz w:val="21"/>
                <w:szCs w:val="24"/>
                <w:highlight w:val="yellow"/>
                <w:lang w:val="sq-AL"/>
              </w:rPr>
              <w:t>30</w:t>
            </w:r>
            <w:r w:rsidR="00CE7634" w:rsidRPr="00213DAC">
              <w:rPr>
                <w:rFonts w:ascii="Times New Roman" w:hAnsi="Times New Roman"/>
                <w:sz w:val="21"/>
                <w:szCs w:val="24"/>
                <w:highlight w:val="yellow"/>
                <w:lang w:val="sq-AL"/>
              </w:rPr>
              <w:t>/</w:t>
            </w:r>
            <w:r w:rsidR="00213DAC" w:rsidRPr="00213DAC">
              <w:rPr>
                <w:rFonts w:ascii="Times New Roman" w:hAnsi="Times New Roman"/>
                <w:sz w:val="21"/>
                <w:szCs w:val="24"/>
                <w:highlight w:val="yellow"/>
                <w:lang w:val="sq-AL"/>
              </w:rPr>
              <w:t>0</w:t>
            </w:r>
            <w:r w:rsidR="000A53E9">
              <w:rPr>
                <w:rFonts w:ascii="Times New Roman" w:hAnsi="Times New Roman"/>
                <w:sz w:val="21"/>
                <w:szCs w:val="24"/>
                <w:highlight w:val="yellow"/>
                <w:lang w:val="sq-AL"/>
              </w:rPr>
              <w:t>9</w:t>
            </w:r>
            <w:r w:rsidR="00CE7634" w:rsidRPr="00213DAC">
              <w:rPr>
                <w:rFonts w:ascii="Times New Roman" w:hAnsi="Times New Roman"/>
                <w:sz w:val="21"/>
                <w:szCs w:val="24"/>
                <w:highlight w:val="yellow"/>
                <w:lang w:val="sq-AL"/>
              </w:rPr>
              <w:t>/</w:t>
            </w:r>
            <w:r w:rsidR="00D24163" w:rsidRPr="00213DAC">
              <w:rPr>
                <w:rFonts w:ascii="Times New Roman" w:hAnsi="Times New Roman"/>
                <w:sz w:val="21"/>
                <w:szCs w:val="24"/>
                <w:highlight w:val="yellow"/>
                <w:lang w:val="sq-AL"/>
              </w:rPr>
              <w:t>2</w:t>
            </w:r>
            <w:bookmarkStart w:id="0" w:name="_GoBack"/>
            <w:bookmarkEnd w:id="0"/>
            <w:r w:rsidR="00D24163" w:rsidRPr="00C50BD1">
              <w:rPr>
                <w:rFonts w:ascii="Times New Roman" w:hAnsi="Times New Roman"/>
                <w:sz w:val="21"/>
                <w:szCs w:val="24"/>
                <w:highlight w:val="yellow"/>
                <w:lang w:val="sq-AL"/>
              </w:rPr>
              <w:t>0</w:t>
            </w:r>
            <w:r w:rsidR="000A53E9" w:rsidRPr="00C50BD1">
              <w:rPr>
                <w:rFonts w:ascii="Times New Roman" w:hAnsi="Times New Roman"/>
                <w:sz w:val="21"/>
                <w:szCs w:val="24"/>
                <w:highlight w:val="yellow"/>
                <w:lang w:val="sq-AL"/>
              </w:rPr>
              <w:t>20</w:t>
            </w:r>
            <w:r w:rsidR="00D24163" w:rsidRPr="00097545">
              <w:rPr>
                <w:rFonts w:ascii="Times New Roman" w:hAnsi="Times New Roman"/>
                <w:sz w:val="21"/>
                <w:szCs w:val="24"/>
                <w:lang w:val="sq-AL"/>
              </w:rPr>
              <w:t xml:space="preserve"> </w:t>
            </w:r>
            <w:r w:rsidR="00E92E1F" w:rsidRPr="00097545">
              <w:rPr>
                <w:rFonts w:ascii="Times New Roman" w:hAnsi="Times New Roman"/>
                <w:sz w:val="21"/>
                <w:szCs w:val="24"/>
                <w:lang w:val="sq-AL"/>
              </w:rPr>
              <w:t xml:space="preserve"> </w:t>
            </w:r>
          </w:p>
          <w:p w:rsidR="00717A99" w:rsidRPr="00097545" w:rsidRDefault="00B22B53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sz w:val="21"/>
                <w:szCs w:val="24"/>
                <w:lang w:val="sq-AL"/>
              </w:rPr>
              <w:t>1</w:t>
            </w:r>
            <w:r w:rsidR="00717A99" w:rsidRPr="00097545">
              <w:rPr>
                <w:rFonts w:ascii="Times New Roman" w:hAnsi="Times New Roman"/>
                <w:sz w:val="21"/>
                <w:szCs w:val="24"/>
                <w:lang w:val="sq-AL"/>
              </w:rPr>
              <w:t>5 ditë pune</w:t>
            </w:r>
          </w:p>
        </w:tc>
        <w:tc>
          <w:tcPr>
            <w:tcW w:w="540" w:type="dxa"/>
            <w:shd w:val="clear" w:color="auto" w:fill="FBE4D5"/>
          </w:tcPr>
          <w:p w:rsidR="00717A99" w:rsidRPr="00097545" w:rsidRDefault="000A53E9" w:rsidP="0021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  <w:r>
              <w:rPr>
                <w:rFonts w:ascii="Times New Roman" w:hAnsi="Times New Roman"/>
                <w:sz w:val="21"/>
                <w:szCs w:val="24"/>
                <w:lang w:val="sq-AL"/>
              </w:rPr>
              <w:t>83</w:t>
            </w:r>
          </w:p>
        </w:tc>
        <w:tc>
          <w:tcPr>
            <w:tcW w:w="1080" w:type="dxa"/>
            <w:shd w:val="clear" w:color="auto" w:fill="FBE4D5"/>
          </w:tcPr>
          <w:p w:rsidR="00717A99" w:rsidRPr="00097545" w:rsidRDefault="00213DAC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  <w:r>
              <w:rPr>
                <w:rFonts w:ascii="Times New Roman" w:hAnsi="Times New Roman"/>
                <w:sz w:val="21"/>
                <w:szCs w:val="24"/>
                <w:lang w:val="sq-AL"/>
              </w:rPr>
              <w:t>0</w:t>
            </w:r>
          </w:p>
        </w:tc>
        <w:tc>
          <w:tcPr>
            <w:tcW w:w="1080" w:type="dxa"/>
            <w:shd w:val="clear" w:color="auto" w:fill="FBE4D5"/>
          </w:tcPr>
          <w:p w:rsidR="00717A99" w:rsidRPr="00097545" w:rsidRDefault="00213DAC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  <w:r>
              <w:rPr>
                <w:rFonts w:ascii="Times New Roman" w:hAnsi="Times New Roman"/>
                <w:sz w:val="21"/>
                <w:szCs w:val="24"/>
                <w:lang w:val="sq-AL"/>
              </w:rPr>
              <w:t>0</w:t>
            </w:r>
          </w:p>
        </w:tc>
        <w:tc>
          <w:tcPr>
            <w:tcW w:w="6759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</w:tr>
      <w:tr w:rsidR="00140DFD" w:rsidRPr="00097545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126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</w:tr>
      <w:tr w:rsidR="00140DFD" w:rsidRPr="00097545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126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1679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</w:tr>
      <w:tr w:rsidR="00140DFD" w:rsidRPr="00097545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126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1679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</w:tr>
      <w:tr w:rsidR="00140DFD" w:rsidRPr="00097545" w:rsidTr="005358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126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70452" w:rsidRPr="00097545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70452" w:rsidRPr="00097545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0D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</w:tr>
      <w:tr w:rsidR="00140DFD" w:rsidRPr="00097545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126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1679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</w:tr>
      <w:tr w:rsidR="00140DFD" w:rsidRPr="00097545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126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</w:tr>
      <w:tr w:rsidR="00140DFD" w:rsidRPr="00097545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126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1679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</w:tr>
      <w:tr w:rsidR="00140DFD" w:rsidRPr="00097545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126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1679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</w:tr>
      <w:tr w:rsidR="00140DFD" w:rsidRPr="00097545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4"/>
                <w:lang w:val="sq-AL"/>
              </w:rPr>
              <w:t xml:space="preserve">Panelet me qytetarë </w:t>
            </w:r>
          </w:p>
        </w:tc>
        <w:tc>
          <w:tcPr>
            <w:tcW w:w="126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0D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3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4"/>
                <w:lang w:val="sq-AL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</w:tr>
      <w:tr w:rsidR="00140DFD" w:rsidRPr="00097545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color w:val="000000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4"/>
                <w:lang w:val="sq-AL"/>
              </w:rPr>
              <w:t>Stendat në rrugë</w:t>
            </w:r>
          </w:p>
        </w:tc>
        <w:tc>
          <w:tcPr>
            <w:tcW w:w="126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4"/>
                <w:lang w:val="sq-AL"/>
              </w:rPr>
              <w:t>Stendat në rrugë</w:t>
            </w:r>
          </w:p>
        </w:tc>
        <w:tc>
          <w:tcPr>
            <w:tcW w:w="1679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</w:tr>
      <w:tr w:rsidR="00140DFD" w:rsidRPr="00097545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color w:val="000000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4"/>
                <w:lang w:val="sq-AL"/>
              </w:rPr>
              <w:t>tjetër</w:t>
            </w:r>
          </w:p>
        </w:tc>
        <w:tc>
          <w:tcPr>
            <w:tcW w:w="126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097545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4"/>
                <w:lang w:val="sq-AL"/>
              </w:rPr>
            </w:pPr>
            <w:r w:rsidRPr="00097545">
              <w:rPr>
                <w:rFonts w:ascii="Times New Roman" w:hAnsi="Times New Roman"/>
                <w:color w:val="000000"/>
                <w:sz w:val="21"/>
                <w:szCs w:val="24"/>
                <w:lang w:val="sq-AL"/>
              </w:rPr>
              <w:t>tjetër</w:t>
            </w:r>
          </w:p>
        </w:tc>
        <w:tc>
          <w:tcPr>
            <w:tcW w:w="1679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097545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4"/>
                <w:lang w:val="sq-AL"/>
              </w:rPr>
            </w:pPr>
          </w:p>
        </w:tc>
      </w:tr>
    </w:tbl>
    <w:p w:rsidR="00DC4A9B" w:rsidRPr="00097545" w:rsidRDefault="00DC4A9B" w:rsidP="00DC4A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:rsidR="00DC4A9B" w:rsidRPr="00097545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097545">
        <w:rPr>
          <w:rFonts w:ascii="Times New Roman" w:eastAsia="Calibri" w:hAnsi="Times New Roman"/>
          <w:b/>
          <w:sz w:val="24"/>
          <w:szCs w:val="24"/>
          <w:lang w:val="sq-AL"/>
        </w:rPr>
        <w:t xml:space="preserve">Përmbledhje e  kontributeve të pranuara gjatë procesit të konsultimit dhe kategoritë e </w:t>
      </w:r>
      <w:proofErr w:type="spellStart"/>
      <w:r w:rsidRPr="00097545">
        <w:rPr>
          <w:rFonts w:ascii="Times New Roman" w:eastAsia="Calibri" w:hAnsi="Times New Roman"/>
          <w:b/>
          <w:sz w:val="24"/>
          <w:szCs w:val="24"/>
          <w:lang w:val="sq-AL"/>
        </w:rPr>
        <w:t>kontribuesve</w:t>
      </w:r>
      <w:proofErr w:type="spellEnd"/>
      <w:r w:rsidRPr="00097545">
        <w:rPr>
          <w:rFonts w:ascii="Times New Roman" w:eastAsia="Calibri" w:hAnsi="Times New Roman"/>
          <w:b/>
          <w:sz w:val="24"/>
          <w:szCs w:val="24"/>
          <w:lang w:val="sq-AL"/>
        </w:rPr>
        <w:t xml:space="preserve"> </w:t>
      </w:r>
    </w:p>
    <w:p w:rsidR="00DC4A9B" w:rsidRPr="00097545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</w:p>
    <w:p w:rsidR="007C4FE1" w:rsidRPr="00097545" w:rsidRDefault="007C4FE1" w:rsidP="00DC4A9B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7C4FE1" w:rsidRPr="00097545" w:rsidRDefault="00213DAC" w:rsidP="007C4FE1">
      <w:pPr>
        <w:spacing w:after="240"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  <w:r>
        <w:rPr>
          <w:rFonts w:ascii="Times New Roman" w:eastAsia="Calibri" w:hAnsi="Times New Roman"/>
          <w:b/>
          <w:sz w:val="24"/>
          <w:szCs w:val="24"/>
          <w:lang w:val="sq-AL" w:eastAsia="sq-AL"/>
        </w:rPr>
        <w:t>Nuk k</w:t>
      </w:r>
      <w:r w:rsidR="00CE6A48" w:rsidRPr="00097545">
        <w:rPr>
          <w:rFonts w:ascii="Times New Roman" w:eastAsia="Calibri" w:hAnsi="Times New Roman"/>
          <w:b/>
          <w:sz w:val="24"/>
          <w:szCs w:val="24"/>
          <w:lang w:val="sq-AL" w:eastAsia="sq-AL"/>
        </w:rPr>
        <w:t>a pasur</w:t>
      </w:r>
      <w:r w:rsidR="007C4FE1" w:rsidRPr="00097545">
        <w:rPr>
          <w:rFonts w:ascii="Times New Roman" w:eastAsia="Calibri" w:hAnsi="Times New Roman"/>
          <w:b/>
          <w:sz w:val="24"/>
          <w:szCs w:val="24"/>
          <w:lang w:val="sq-AL" w:eastAsia="sq-AL"/>
        </w:rPr>
        <w:t>.</w:t>
      </w:r>
    </w:p>
    <w:p w:rsidR="007C4FE1" w:rsidRPr="00097545" w:rsidRDefault="007C4FE1" w:rsidP="00DC4A9B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7C4FE1" w:rsidRPr="00097545" w:rsidRDefault="007C4FE1" w:rsidP="00DC4A9B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1215C8" w:rsidRPr="00097545" w:rsidRDefault="00DC4A9B" w:rsidP="00DB01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097545">
        <w:rPr>
          <w:rFonts w:ascii="Times New Roman" w:eastAsia="Calibri" w:hAnsi="Times New Roman"/>
          <w:b/>
          <w:sz w:val="24"/>
          <w:szCs w:val="24"/>
          <w:lang w:val="sq-AL"/>
        </w:rPr>
        <w:t>Hapat e ardhshëm</w:t>
      </w:r>
    </w:p>
    <w:p w:rsidR="001215C8" w:rsidRPr="00097545" w:rsidRDefault="001215C8" w:rsidP="00E94A8D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1215C8" w:rsidRPr="00097545" w:rsidRDefault="001215C8" w:rsidP="00E94A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:rsidR="00DC4A9B" w:rsidRPr="00097545" w:rsidRDefault="00DC4A9B" w:rsidP="00DC4A9B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  <w:r w:rsidRPr="00097545">
        <w:rPr>
          <w:rFonts w:ascii="Times New Roman" w:eastAsia="Calibri" w:hAnsi="Times New Roman"/>
          <w:sz w:val="24"/>
          <w:szCs w:val="24"/>
          <w:lang w:val="sq-AL"/>
        </w:rPr>
        <w:t xml:space="preserve">Tabela e detajuar me informatat </w:t>
      </w:r>
      <w:r w:rsidR="00213DAC" w:rsidRPr="00097545">
        <w:rPr>
          <w:rFonts w:ascii="Times New Roman" w:eastAsia="Calibri" w:hAnsi="Times New Roman"/>
          <w:sz w:val="24"/>
          <w:szCs w:val="24"/>
          <w:lang w:val="sq-AL"/>
        </w:rPr>
        <w:t>për</w:t>
      </w:r>
      <w:r w:rsidRPr="00097545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097545">
        <w:rPr>
          <w:rFonts w:ascii="Times New Roman" w:eastAsia="Calibri" w:hAnsi="Times New Roman"/>
          <w:sz w:val="24"/>
          <w:szCs w:val="24"/>
          <w:lang w:val="sq-AL"/>
        </w:rPr>
        <w:t>kontribuesit</w:t>
      </w:r>
      <w:proofErr w:type="spellEnd"/>
      <w:r w:rsidRPr="00097545">
        <w:rPr>
          <w:rFonts w:ascii="Times New Roman" w:eastAsia="Calibri" w:hAnsi="Times New Roman"/>
          <w:sz w:val="24"/>
          <w:szCs w:val="24"/>
          <w:lang w:val="sq-AL"/>
        </w:rPr>
        <w:t xml:space="preserve">, arsyetimet për përgjigjet e pranuara dhe të refuzuara.  </w:t>
      </w:r>
    </w:p>
    <w:p w:rsidR="00DC4A9B" w:rsidRPr="00097545" w:rsidRDefault="00DC4A9B" w:rsidP="00DC4A9B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772"/>
        <w:gridCol w:w="3376"/>
        <w:gridCol w:w="2880"/>
        <w:gridCol w:w="2441"/>
      </w:tblGrid>
      <w:tr w:rsidR="00B53F59" w:rsidRPr="00097545" w:rsidTr="0012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772" w:type="dxa"/>
            <w:shd w:val="clear" w:color="auto" w:fill="FBE4D5"/>
            <w:hideMark/>
          </w:tcPr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</w:pPr>
            <w:r w:rsidRPr="00097545"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  <w:lastRenderedPageBreak/>
              <w:t>Emri   i organizatës /individit</w:t>
            </w:r>
          </w:p>
        </w:tc>
        <w:tc>
          <w:tcPr>
            <w:tcW w:w="3376" w:type="dxa"/>
            <w:shd w:val="clear" w:color="auto" w:fill="FBE4D5"/>
            <w:hideMark/>
          </w:tcPr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</w:pPr>
            <w:r w:rsidRPr="00097545"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  <w:t>Koment i organizatës /individit</w:t>
            </w:r>
          </w:p>
        </w:tc>
        <w:tc>
          <w:tcPr>
            <w:tcW w:w="2880" w:type="dxa"/>
            <w:shd w:val="clear" w:color="auto" w:fill="FBE4D5"/>
            <w:hideMark/>
          </w:tcPr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</w:pPr>
            <w:r w:rsidRPr="00097545"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  <w:t>Përgjigja nga Ministria</w:t>
            </w:r>
          </w:p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</w:pPr>
            <w:r w:rsidRPr="00097545"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  <w:t>E pranuar plotësisht</w:t>
            </w:r>
          </w:p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</w:pPr>
            <w:r w:rsidRPr="00097545"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  <w:t xml:space="preserve">E pranuar pjesërisht </w:t>
            </w:r>
          </w:p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</w:pPr>
            <w:r w:rsidRPr="00097545"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  <w:t>E refuzuar</w:t>
            </w:r>
          </w:p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  <w:shd w:val="clear" w:color="auto" w:fill="FBE4D5"/>
            <w:hideMark/>
          </w:tcPr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</w:pPr>
            <w:r w:rsidRPr="00097545"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  <w:t xml:space="preserve">Sqarim nga Ministria </w:t>
            </w:r>
          </w:p>
          <w:p w:rsidR="00B53F59" w:rsidRPr="00097545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</w:pPr>
            <w:r w:rsidRPr="00097545"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  <w:t>(veçanërisht arsyet për të mos pranuar komente të caktuara)</w:t>
            </w:r>
          </w:p>
        </w:tc>
      </w:tr>
      <w:tr w:rsidR="00B53F59" w:rsidRPr="00097545" w:rsidTr="0012296F">
        <w:trPr>
          <w:trHeight w:val="510"/>
        </w:trPr>
        <w:tc>
          <w:tcPr>
            <w:tcW w:w="1772" w:type="dxa"/>
          </w:tcPr>
          <w:p w:rsidR="007C4FE1" w:rsidRPr="00097545" w:rsidRDefault="007C4FE1" w:rsidP="00B53F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56035A" w:rsidRPr="00097545" w:rsidRDefault="0056035A" w:rsidP="00213DA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97545" w:rsidRDefault="00B53F59" w:rsidP="007C4FE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97545" w:rsidRDefault="00B53F59" w:rsidP="007C4FE1">
            <w:pPr>
              <w:spacing w:after="0" w:line="240" w:lineRule="auto"/>
              <w:ind w:right="667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097545" w:rsidTr="0012296F">
        <w:trPr>
          <w:trHeight w:val="440"/>
        </w:trPr>
        <w:tc>
          <w:tcPr>
            <w:tcW w:w="1772" w:type="dxa"/>
            <w:hideMark/>
          </w:tcPr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56035A" w:rsidRPr="00097545" w:rsidRDefault="0056035A" w:rsidP="00DB010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:rsidR="00B53F59" w:rsidRPr="00097545" w:rsidRDefault="00B53F59" w:rsidP="00DB010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:rsidR="00513E5E" w:rsidRPr="00097545" w:rsidRDefault="00513E5E" w:rsidP="009F053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  <w:hideMark/>
          </w:tcPr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097545" w:rsidTr="0012296F">
        <w:trPr>
          <w:trHeight w:val="530"/>
        </w:trPr>
        <w:tc>
          <w:tcPr>
            <w:tcW w:w="1772" w:type="dxa"/>
          </w:tcPr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97545" w:rsidRDefault="00B53F59" w:rsidP="00DB010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0B3D9A" w:rsidRPr="00097545" w:rsidRDefault="000B3D9A" w:rsidP="00213DA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097545" w:rsidTr="0012296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97545" w:rsidRDefault="00B53F59" w:rsidP="00213DA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9F0539" w:rsidRPr="00097545" w:rsidRDefault="009F053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:rsidR="00B53F59" w:rsidRPr="00097545" w:rsidRDefault="00B53F59" w:rsidP="009F05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97545" w:rsidRDefault="00B53F59" w:rsidP="00213DA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097545" w:rsidTr="0012296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97545" w:rsidRDefault="00B53F59" w:rsidP="00DB010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97545" w:rsidRDefault="00B53F59" w:rsidP="000B3D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97545" w:rsidRDefault="000B3D9A" w:rsidP="00213DA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09754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B53F59" w:rsidRPr="00097545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97545" w:rsidRDefault="00B53F59" w:rsidP="0081750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97545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97545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097545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97545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97545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97545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097545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97545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97545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97545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97545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</w:tbl>
    <w:p w:rsidR="00592F21" w:rsidRPr="00097545" w:rsidRDefault="00592F21" w:rsidP="00B65823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color w:val="FF0000"/>
          <w:sz w:val="24"/>
          <w:szCs w:val="24"/>
          <w:lang w:val="sq-AL"/>
        </w:rPr>
      </w:pPr>
    </w:p>
    <w:sectPr w:rsidR="00592F21" w:rsidRPr="00097545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1F" w:rsidRDefault="0018761F" w:rsidP="00531727">
      <w:pPr>
        <w:spacing w:after="0" w:line="240" w:lineRule="auto"/>
      </w:pPr>
      <w:r>
        <w:separator/>
      </w:r>
    </w:p>
    <w:p w:rsidR="0018761F" w:rsidRDefault="0018761F"/>
  </w:endnote>
  <w:endnote w:type="continuationSeparator" w:id="0">
    <w:p w:rsidR="0018761F" w:rsidRDefault="0018761F" w:rsidP="00531727">
      <w:pPr>
        <w:spacing w:after="0" w:line="240" w:lineRule="auto"/>
      </w:pPr>
      <w:r>
        <w:continuationSeparator/>
      </w:r>
    </w:p>
    <w:p w:rsidR="0018761F" w:rsidRDefault="0018761F"/>
  </w:endnote>
  <w:endnote w:type="continuationNotice" w:id="1">
    <w:p w:rsidR="0018761F" w:rsidRDefault="0018761F">
      <w:pPr>
        <w:spacing w:after="0" w:line="240" w:lineRule="auto"/>
      </w:pPr>
    </w:p>
    <w:p w:rsidR="0018761F" w:rsidRDefault="00187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3294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E7634" w:rsidRPr="00CE7634" w:rsidRDefault="00CE7634">
        <w:pPr>
          <w:pStyle w:val="Footer"/>
          <w:jc w:val="center"/>
          <w:rPr>
            <w:rFonts w:ascii="Times New Roman" w:hAnsi="Times New Roman"/>
          </w:rPr>
        </w:pPr>
        <w:r w:rsidRPr="00CE7634">
          <w:rPr>
            <w:rFonts w:ascii="Times New Roman" w:hAnsi="Times New Roman"/>
          </w:rPr>
          <w:fldChar w:fldCharType="begin"/>
        </w:r>
        <w:r w:rsidRPr="00CE7634">
          <w:rPr>
            <w:rFonts w:ascii="Times New Roman" w:hAnsi="Times New Roman"/>
          </w:rPr>
          <w:instrText>PAGE   \* MERGEFORMAT</w:instrText>
        </w:r>
        <w:r w:rsidRPr="00CE7634">
          <w:rPr>
            <w:rFonts w:ascii="Times New Roman" w:hAnsi="Times New Roman"/>
          </w:rPr>
          <w:fldChar w:fldCharType="separate"/>
        </w:r>
        <w:r w:rsidR="00C50BD1" w:rsidRPr="00C50BD1">
          <w:rPr>
            <w:rFonts w:ascii="Times New Roman" w:hAnsi="Times New Roman"/>
            <w:noProof/>
            <w:lang w:val="sq-AL"/>
          </w:rPr>
          <w:t>4</w:t>
        </w:r>
        <w:r w:rsidRPr="00CE7634">
          <w:rPr>
            <w:rFonts w:ascii="Times New Roman" w:hAnsi="Times New Roman"/>
            <w:noProof/>
          </w:rPr>
          <w:fldChar w:fldCharType="end"/>
        </w:r>
      </w:p>
    </w:sdtContent>
  </w:sdt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1F" w:rsidRDefault="0018761F" w:rsidP="00531727">
      <w:pPr>
        <w:spacing w:after="0" w:line="240" w:lineRule="auto"/>
      </w:pPr>
      <w:r>
        <w:separator/>
      </w:r>
    </w:p>
    <w:p w:rsidR="0018761F" w:rsidRDefault="0018761F"/>
  </w:footnote>
  <w:footnote w:type="continuationSeparator" w:id="0">
    <w:p w:rsidR="0018761F" w:rsidRDefault="0018761F" w:rsidP="00531727">
      <w:pPr>
        <w:spacing w:after="0" w:line="240" w:lineRule="auto"/>
      </w:pPr>
      <w:r>
        <w:continuationSeparator/>
      </w:r>
    </w:p>
    <w:p w:rsidR="0018761F" w:rsidRDefault="0018761F"/>
  </w:footnote>
  <w:footnote w:type="continuationNotice" w:id="1">
    <w:p w:rsidR="0018761F" w:rsidRDefault="0018761F">
      <w:pPr>
        <w:spacing w:after="0" w:line="240" w:lineRule="auto"/>
      </w:pPr>
    </w:p>
    <w:p w:rsidR="0018761F" w:rsidRDefault="001876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F"/>
    <w:rsid w:val="000002BA"/>
    <w:rsid w:val="00014885"/>
    <w:rsid w:val="0001646A"/>
    <w:rsid w:val="0002002A"/>
    <w:rsid w:val="00022AA2"/>
    <w:rsid w:val="0002485A"/>
    <w:rsid w:val="00027E2E"/>
    <w:rsid w:val="0003006D"/>
    <w:rsid w:val="00034125"/>
    <w:rsid w:val="0003681C"/>
    <w:rsid w:val="000436F8"/>
    <w:rsid w:val="00050A9D"/>
    <w:rsid w:val="000526DE"/>
    <w:rsid w:val="0005360D"/>
    <w:rsid w:val="00053A7F"/>
    <w:rsid w:val="000558AB"/>
    <w:rsid w:val="000573FF"/>
    <w:rsid w:val="00066966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97545"/>
    <w:rsid w:val="000A1893"/>
    <w:rsid w:val="000A1F00"/>
    <w:rsid w:val="000A36DE"/>
    <w:rsid w:val="000A53E9"/>
    <w:rsid w:val="000A5970"/>
    <w:rsid w:val="000B3D30"/>
    <w:rsid w:val="000B3D9A"/>
    <w:rsid w:val="000C1DE2"/>
    <w:rsid w:val="000C2261"/>
    <w:rsid w:val="000C4996"/>
    <w:rsid w:val="000C69D4"/>
    <w:rsid w:val="000D0C0D"/>
    <w:rsid w:val="000D635B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17F66"/>
    <w:rsid w:val="001215C8"/>
    <w:rsid w:val="00121823"/>
    <w:rsid w:val="0012296F"/>
    <w:rsid w:val="00123D7A"/>
    <w:rsid w:val="001311BF"/>
    <w:rsid w:val="001339FD"/>
    <w:rsid w:val="00140DFD"/>
    <w:rsid w:val="0014171F"/>
    <w:rsid w:val="0015128F"/>
    <w:rsid w:val="00152190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8761F"/>
    <w:rsid w:val="00190A2A"/>
    <w:rsid w:val="00190C8F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C3BF1"/>
    <w:rsid w:val="001C572B"/>
    <w:rsid w:val="001D12D3"/>
    <w:rsid w:val="001D6E37"/>
    <w:rsid w:val="001D74D7"/>
    <w:rsid w:val="001E3563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3DAC"/>
    <w:rsid w:val="0021675B"/>
    <w:rsid w:val="00217CE5"/>
    <w:rsid w:val="00221561"/>
    <w:rsid w:val="00223B7A"/>
    <w:rsid w:val="0023136A"/>
    <w:rsid w:val="00233CC7"/>
    <w:rsid w:val="00237C91"/>
    <w:rsid w:val="00240512"/>
    <w:rsid w:val="00241AA9"/>
    <w:rsid w:val="00243D3E"/>
    <w:rsid w:val="00246642"/>
    <w:rsid w:val="002503F5"/>
    <w:rsid w:val="00252B54"/>
    <w:rsid w:val="00253EC4"/>
    <w:rsid w:val="00264EB0"/>
    <w:rsid w:val="0026542E"/>
    <w:rsid w:val="002672EF"/>
    <w:rsid w:val="00267DFD"/>
    <w:rsid w:val="002724A3"/>
    <w:rsid w:val="00274437"/>
    <w:rsid w:val="00276821"/>
    <w:rsid w:val="002A0328"/>
    <w:rsid w:val="002A2B35"/>
    <w:rsid w:val="002A5E1F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13BC"/>
    <w:rsid w:val="00313A06"/>
    <w:rsid w:val="00316CD8"/>
    <w:rsid w:val="00317436"/>
    <w:rsid w:val="00320C4E"/>
    <w:rsid w:val="003241EB"/>
    <w:rsid w:val="00325337"/>
    <w:rsid w:val="00325D02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86BF1"/>
    <w:rsid w:val="00394E6D"/>
    <w:rsid w:val="00395ACA"/>
    <w:rsid w:val="003A5916"/>
    <w:rsid w:val="003A67AC"/>
    <w:rsid w:val="003A69B4"/>
    <w:rsid w:val="003B0477"/>
    <w:rsid w:val="003C2D73"/>
    <w:rsid w:val="003C45CA"/>
    <w:rsid w:val="003C4939"/>
    <w:rsid w:val="003C4CC4"/>
    <w:rsid w:val="003C5386"/>
    <w:rsid w:val="003E1F3A"/>
    <w:rsid w:val="003E4DCF"/>
    <w:rsid w:val="00401674"/>
    <w:rsid w:val="00402AC3"/>
    <w:rsid w:val="00407A62"/>
    <w:rsid w:val="00411DBD"/>
    <w:rsid w:val="004166B1"/>
    <w:rsid w:val="0041684C"/>
    <w:rsid w:val="00422C37"/>
    <w:rsid w:val="004273D2"/>
    <w:rsid w:val="00432809"/>
    <w:rsid w:val="00434CFD"/>
    <w:rsid w:val="00437014"/>
    <w:rsid w:val="00441369"/>
    <w:rsid w:val="00443C66"/>
    <w:rsid w:val="0044695E"/>
    <w:rsid w:val="00457C84"/>
    <w:rsid w:val="00460402"/>
    <w:rsid w:val="00461838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08FF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069B3"/>
    <w:rsid w:val="005118D5"/>
    <w:rsid w:val="00513E5E"/>
    <w:rsid w:val="00514A43"/>
    <w:rsid w:val="00516580"/>
    <w:rsid w:val="00522C4E"/>
    <w:rsid w:val="00523249"/>
    <w:rsid w:val="0052458F"/>
    <w:rsid w:val="00527D3B"/>
    <w:rsid w:val="00531727"/>
    <w:rsid w:val="005358C2"/>
    <w:rsid w:val="00543BB9"/>
    <w:rsid w:val="00545843"/>
    <w:rsid w:val="00546102"/>
    <w:rsid w:val="00546E05"/>
    <w:rsid w:val="005473E1"/>
    <w:rsid w:val="00547EDA"/>
    <w:rsid w:val="00551753"/>
    <w:rsid w:val="005602A3"/>
    <w:rsid w:val="0056035A"/>
    <w:rsid w:val="00563DF6"/>
    <w:rsid w:val="00573DF9"/>
    <w:rsid w:val="0057660D"/>
    <w:rsid w:val="00583C33"/>
    <w:rsid w:val="005851C8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1F1C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3925"/>
    <w:rsid w:val="0068520F"/>
    <w:rsid w:val="00692F7C"/>
    <w:rsid w:val="0069590D"/>
    <w:rsid w:val="006A14E5"/>
    <w:rsid w:val="006B2EAD"/>
    <w:rsid w:val="006B3B67"/>
    <w:rsid w:val="006C4846"/>
    <w:rsid w:val="006E016B"/>
    <w:rsid w:val="006E16D7"/>
    <w:rsid w:val="006E3036"/>
    <w:rsid w:val="006F1A0C"/>
    <w:rsid w:val="006F3329"/>
    <w:rsid w:val="00700BA5"/>
    <w:rsid w:val="00702E1B"/>
    <w:rsid w:val="007103F5"/>
    <w:rsid w:val="00712B7A"/>
    <w:rsid w:val="00714336"/>
    <w:rsid w:val="00717A99"/>
    <w:rsid w:val="00717CB0"/>
    <w:rsid w:val="0072244C"/>
    <w:rsid w:val="00724054"/>
    <w:rsid w:val="0073085C"/>
    <w:rsid w:val="007312FD"/>
    <w:rsid w:val="00732EA3"/>
    <w:rsid w:val="0073470C"/>
    <w:rsid w:val="0073533C"/>
    <w:rsid w:val="00741BAB"/>
    <w:rsid w:val="00743FB7"/>
    <w:rsid w:val="007440C3"/>
    <w:rsid w:val="007504C3"/>
    <w:rsid w:val="007513B1"/>
    <w:rsid w:val="0075412D"/>
    <w:rsid w:val="00754D03"/>
    <w:rsid w:val="00757C11"/>
    <w:rsid w:val="007653AB"/>
    <w:rsid w:val="00770452"/>
    <w:rsid w:val="00770AC5"/>
    <w:rsid w:val="00771DFF"/>
    <w:rsid w:val="00772F37"/>
    <w:rsid w:val="0078325F"/>
    <w:rsid w:val="007857CA"/>
    <w:rsid w:val="00790C9E"/>
    <w:rsid w:val="0079131E"/>
    <w:rsid w:val="00791B1E"/>
    <w:rsid w:val="00793148"/>
    <w:rsid w:val="007A6E43"/>
    <w:rsid w:val="007B4CDD"/>
    <w:rsid w:val="007C283F"/>
    <w:rsid w:val="007C4FE1"/>
    <w:rsid w:val="007D344D"/>
    <w:rsid w:val="007D3E3F"/>
    <w:rsid w:val="007D6CC3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308A"/>
    <w:rsid w:val="008144DC"/>
    <w:rsid w:val="00817508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6A8F"/>
    <w:rsid w:val="0085794B"/>
    <w:rsid w:val="00862AEE"/>
    <w:rsid w:val="00863F76"/>
    <w:rsid w:val="008658BA"/>
    <w:rsid w:val="00874640"/>
    <w:rsid w:val="008763E3"/>
    <w:rsid w:val="008860B9"/>
    <w:rsid w:val="008879E6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8F7433"/>
    <w:rsid w:val="0091294D"/>
    <w:rsid w:val="00914566"/>
    <w:rsid w:val="00916332"/>
    <w:rsid w:val="00930930"/>
    <w:rsid w:val="00932650"/>
    <w:rsid w:val="00933C7C"/>
    <w:rsid w:val="0093543C"/>
    <w:rsid w:val="0093746B"/>
    <w:rsid w:val="00942AFF"/>
    <w:rsid w:val="00946198"/>
    <w:rsid w:val="00952690"/>
    <w:rsid w:val="00954A75"/>
    <w:rsid w:val="00954E1F"/>
    <w:rsid w:val="00963253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3FFD"/>
    <w:rsid w:val="0098559E"/>
    <w:rsid w:val="00990FA0"/>
    <w:rsid w:val="00992015"/>
    <w:rsid w:val="009945C7"/>
    <w:rsid w:val="0099518A"/>
    <w:rsid w:val="0099556C"/>
    <w:rsid w:val="0099722E"/>
    <w:rsid w:val="009A0E8B"/>
    <w:rsid w:val="009A2235"/>
    <w:rsid w:val="009A5C4C"/>
    <w:rsid w:val="009C2C73"/>
    <w:rsid w:val="009D1367"/>
    <w:rsid w:val="009D16E5"/>
    <w:rsid w:val="009E166F"/>
    <w:rsid w:val="009E238C"/>
    <w:rsid w:val="009E4FE0"/>
    <w:rsid w:val="009E6373"/>
    <w:rsid w:val="009F0539"/>
    <w:rsid w:val="009F0EE7"/>
    <w:rsid w:val="009F328D"/>
    <w:rsid w:val="00A04BCD"/>
    <w:rsid w:val="00A07B17"/>
    <w:rsid w:val="00A13644"/>
    <w:rsid w:val="00A15291"/>
    <w:rsid w:val="00A24C9F"/>
    <w:rsid w:val="00A26352"/>
    <w:rsid w:val="00A37BA1"/>
    <w:rsid w:val="00A45767"/>
    <w:rsid w:val="00A47EB4"/>
    <w:rsid w:val="00A5099B"/>
    <w:rsid w:val="00A51B1A"/>
    <w:rsid w:val="00A52739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0285"/>
    <w:rsid w:val="00A7415D"/>
    <w:rsid w:val="00A7467C"/>
    <w:rsid w:val="00A8384D"/>
    <w:rsid w:val="00A8417B"/>
    <w:rsid w:val="00A86446"/>
    <w:rsid w:val="00A87099"/>
    <w:rsid w:val="00A918E8"/>
    <w:rsid w:val="00A94480"/>
    <w:rsid w:val="00AA25BA"/>
    <w:rsid w:val="00AA279A"/>
    <w:rsid w:val="00AA30CB"/>
    <w:rsid w:val="00AA38E6"/>
    <w:rsid w:val="00AA4C73"/>
    <w:rsid w:val="00AA602C"/>
    <w:rsid w:val="00AB0D52"/>
    <w:rsid w:val="00AB3FB7"/>
    <w:rsid w:val="00AB74F7"/>
    <w:rsid w:val="00AC39D0"/>
    <w:rsid w:val="00AC3CC2"/>
    <w:rsid w:val="00AC4341"/>
    <w:rsid w:val="00AC5F0E"/>
    <w:rsid w:val="00AC7626"/>
    <w:rsid w:val="00AD14D5"/>
    <w:rsid w:val="00AE0F5D"/>
    <w:rsid w:val="00AE303F"/>
    <w:rsid w:val="00AE3768"/>
    <w:rsid w:val="00AE606C"/>
    <w:rsid w:val="00AE7328"/>
    <w:rsid w:val="00AF63FB"/>
    <w:rsid w:val="00B03A7E"/>
    <w:rsid w:val="00B07B3B"/>
    <w:rsid w:val="00B10307"/>
    <w:rsid w:val="00B10674"/>
    <w:rsid w:val="00B14117"/>
    <w:rsid w:val="00B16876"/>
    <w:rsid w:val="00B22B53"/>
    <w:rsid w:val="00B23CCD"/>
    <w:rsid w:val="00B3027D"/>
    <w:rsid w:val="00B334DB"/>
    <w:rsid w:val="00B3429A"/>
    <w:rsid w:val="00B37E69"/>
    <w:rsid w:val="00B37FD8"/>
    <w:rsid w:val="00B40807"/>
    <w:rsid w:val="00B4781B"/>
    <w:rsid w:val="00B533E6"/>
    <w:rsid w:val="00B53F59"/>
    <w:rsid w:val="00B5569C"/>
    <w:rsid w:val="00B55742"/>
    <w:rsid w:val="00B572E5"/>
    <w:rsid w:val="00B57789"/>
    <w:rsid w:val="00B60191"/>
    <w:rsid w:val="00B61176"/>
    <w:rsid w:val="00B621B8"/>
    <w:rsid w:val="00B645F8"/>
    <w:rsid w:val="00B64D96"/>
    <w:rsid w:val="00B65823"/>
    <w:rsid w:val="00B72E65"/>
    <w:rsid w:val="00B74CC4"/>
    <w:rsid w:val="00B751D9"/>
    <w:rsid w:val="00B75FBA"/>
    <w:rsid w:val="00B83AB2"/>
    <w:rsid w:val="00B83D67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36DF"/>
    <w:rsid w:val="00C04397"/>
    <w:rsid w:val="00C0656D"/>
    <w:rsid w:val="00C0726C"/>
    <w:rsid w:val="00C103F4"/>
    <w:rsid w:val="00C14A00"/>
    <w:rsid w:val="00C1608A"/>
    <w:rsid w:val="00C30D07"/>
    <w:rsid w:val="00C333C2"/>
    <w:rsid w:val="00C34211"/>
    <w:rsid w:val="00C36271"/>
    <w:rsid w:val="00C366CE"/>
    <w:rsid w:val="00C37090"/>
    <w:rsid w:val="00C4397C"/>
    <w:rsid w:val="00C45942"/>
    <w:rsid w:val="00C50BD1"/>
    <w:rsid w:val="00C56D24"/>
    <w:rsid w:val="00C60200"/>
    <w:rsid w:val="00C62E10"/>
    <w:rsid w:val="00C65CD9"/>
    <w:rsid w:val="00C66E4B"/>
    <w:rsid w:val="00C74823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6A48"/>
    <w:rsid w:val="00CE7634"/>
    <w:rsid w:val="00CF33FC"/>
    <w:rsid w:val="00CF3D07"/>
    <w:rsid w:val="00CF5084"/>
    <w:rsid w:val="00CF5A43"/>
    <w:rsid w:val="00D0008F"/>
    <w:rsid w:val="00D03232"/>
    <w:rsid w:val="00D0361B"/>
    <w:rsid w:val="00D13253"/>
    <w:rsid w:val="00D1533C"/>
    <w:rsid w:val="00D24163"/>
    <w:rsid w:val="00D25247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4C7E"/>
    <w:rsid w:val="00DB0104"/>
    <w:rsid w:val="00DB1502"/>
    <w:rsid w:val="00DC275D"/>
    <w:rsid w:val="00DC3A69"/>
    <w:rsid w:val="00DC4A9B"/>
    <w:rsid w:val="00DE7E2D"/>
    <w:rsid w:val="00DF12C0"/>
    <w:rsid w:val="00DF1547"/>
    <w:rsid w:val="00DF2218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55F3B"/>
    <w:rsid w:val="00E60199"/>
    <w:rsid w:val="00E61A33"/>
    <w:rsid w:val="00E61FD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2E1F"/>
    <w:rsid w:val="00E9312E"/>
    <w:rsid w:val="00E93673"/>
    <w:rsid w:val="00E94A8D"/>
    <w:rsid w:val="00E97B53"/>
    <w:rsid w:val="00EA0F09"/>
    <w:rsid w:val="00EA6C73"/>
    <w:rsid w:val="00EA7230"/>
    <w:rsid w:val="00EB1A1F"/>
    <w:rsid w:val="00EB28A6"/>
    <w:rsid w:val="00EB74AE"/>
    <w:rsid w:val="00EC0E4B"/>
    <w:rsid w:val="00EC455C"/>
    <w:rsid w:val="00EC5BCE"/>
    <w:rsid w:val="00EC6BCA"/>
    <w:rsid w:val="00EC7E58"/>
    <w:rsid w:val="00ED1E01"/>
    <w:rsid w:val="00ED1F6D"/>
    <w:rsid w:val="00EE472E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3362D"/>
    <w:rsid w:val="00F43D8F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D6872"/>
    <w:rsid w:val="00FE454A"/>
    <w:rsid w:val="00FE492A"/>
    <w:rsid w:val="00FE53EC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897467-9F3A-4F23-BF87-E0574BEF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4DB5-A1AB-469A-9103-C4264C72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Gurakuq Kastrati</cp:lastModifiedBy>
  <cp:revision>37</cp:revision>
  <cp:lastPrinted>2016-02-18T09:50:00Z</cp:lastPrinted>
  <dcterms:created xsi:type="dcterms:W3CDTF">2019-12-16T08:53:00Z</dcterms:created>
  <dcterms:modified xsi:type="dcterms:W3CDTF">2020-10-22T06:37:00Z</dcterms:modified>
</cp:coreProperties>
</file>